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0"/>
        <w:ind w:left="0" w:right="0" w:hanging="0"/>
        <w:jc w:val="center"/>
        <w:rPr/>
      </w:pPr>
      <w:bookmarkStart w:id="0" w:name="ambr-20260910x6k.htm"/>
      <w:bookmarkStart w:id="1" w:name="ksambr20260910x6k"/>
      <w:bookmarkEnd w:id="0"/>
      <w:bookmarkEnd w:id="1"/>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5acad872_4a54_454f_a68d_06694adcdbbe"/>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20"/>
        </w:rPr>
        <w:t>Washington</w:t>
      </w:r>
      <w:r>
        <w:rPr>
          <w:rFonts w:ascii="Times New Roman;Times;serif" w:hAnsi="Times New Roman;Times;serif"/>
          <w:b/>
          <w:sz w:val="18"/>
        </w:rPr>
        <w:t>,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6-K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w:t>
        <w:br/>
        <w:t>PURSUANT TO RULE 13a-16 OR 15d-16</w:t>
        <w:br/>
        <w:t>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month of September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001-38313</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Amber International Holding Limited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name)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 Wallich Street, #30-02 Guoco Tower, Singapore 078881</w:t>
        <w:br/>
        <w:t>Tel: +65 60220228</w:t>
        <w:br/>
      </w:r>
      <w:r>
        <w:rPr>
          <w:rFonts w:ascii="Times New Roman;Times;serif" w:hAnsi="Times New Roman;Times;serif"/>
          <w:sz w:val="20"/>
        </w:rPr>
        <w:t>(Address of principal executive office)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Form 20-F ☒     Form 40-F ☐</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 w:name="_40acc3ad_993d_4417_9844_5b7f2fc0e514"/>
      <w:bookmarkEnd w:id="3"/>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46"/>
        <w:gridCol w:w="346"/>
        <w:gridCol w:w="9013"/>
      </w:tblGrid>
      <w:tr>
        <w:trPr/>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37210" cy="175260"/>
                      <wp:effectExtent l="0" t="0" r="0" b="0"/>
                      <wp:wrapNone/>
                      <wp:docPr id="1" name="Frame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723255" cy="175260"/>
                      <wp:effectExtent l="0" t="0" r="0" b="0"/>
                      <wp:wrapNone/>
                      <wp:docPr id="3" name="Frame3"/>
                      <a:graphic xmlns:a="http://schemas.openxmlformats.org/drawingml/2006/main">
                        <a:graphicData uri="http://schemas.microsoft.com/office/word/2010/wordprocessingShape">
                          <wps:wsp>
                            <wps:cNvSpPr txBox="1"/>
                            <wps:spPr>
                              <a:xfrm>
                                <a:off x="0" y="0"/>
                                <a:ext cx="572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8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hyperlink w:anchor="ambr-20260910xex99d1.htm">
              <w:r>
                <w:rPr>
                  <w:rStyle w:val="InternetLink"/>
                  <w:rFonts w:ascii="Times New Roman;Times;serif" w:hAnsi="Times New Roman;Times;serif"/>
                  <w:b w:val="false"/>
                  <w:i w:val="false"/>
                  <w:caps w:val="false"/>
                  <w:smallCaps w:val="false"/>
                  <w:sz w:val="20"/>
                </w:rPr>
                <w:t>Condensed Consolidated Interim Financial Statements as of June 30, 2026</w:t>
              </w:r>
            </w:hyperlink>
          </w:p>
        </w:tc>
      </w:tr>
      <w:tr>
        <w:trPr/>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hyperlink w:anchor="ambr-20260910xex99d2.htm">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r>
      <w:tr>
        <w:trPr/>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Document-this instance document does not appear in the Interactive Data File because its XBRL tags are embedded within the Inline XBRL document</w:t>
            </w:r>
          </w:p>
        </w:tc>
      </w:tr>
      <w:tr>
        <w:trPr/>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pPr>
            <w:r>
              <w:rPr/>
              <w:t>​</w:t>
            </w:r>
          </w:p>
        </w:tc>
      </w:tr>
      <w:tr>
        <w:trPr/>
        <w:tc>
          <w:tcPr>
            <w:tcW w:w="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center"/>
        <w:rPr>
          <w:rFonts w:ascii="Times New Roman;Times;serif" w:hAnsi="Times New Roman;Times;serif"/>
          <w:b/>
          <w:sz w:val="20"/>
        </w:rPr>
      </w:pPr>
      <w:bookmarkStart w:id="4" w:name="_d6c85cee_e0b2_4c7f_8619_a51508a25e93"/>
      <w:bookmarkEnd w:id="4"/>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w:t>
      </w:r>
    </w:p>
    <w:tbl>
      <w:tblPr>
        <w:tblW w:w="4116" w:type="dxa"/>
        <w:jc w:val="left"/>
        <w:tblInd w:w="0" w:type="dxa"/>
        <w:tblLayout w:type="fixed"/>
        <w:tblCellMar>
          <w:top w:w="0" w:type="dxa"/>
          <w:left w:w="0" w:type="dxa"/>
          <w:bottom w:w="0" w:type="dxa"/>
          <w:right w:w="0" w:type="dxa"/>
        </w:tblCellMar>
      </w:tblPr>
      <w:tblGrid>
        <w:gridCol w:w="124"/>
        <w:gridCol w:w="631"/>
        <w:gridCol w:w="3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75260"/>
                      <wp:effectExtent l="0" t="0" r="0" b="0"/>
                      <wp:wrapNone/>
                      <wp:docPr id="4" name="Frame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34235" cy="175260"/>
                      <wp:effectExtent l="0" t="0" r="0" b="0"/>
                      <wp:wrapNone/>
                      <wp:docPr id="5" name="Frame5"/>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 Zhang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 Zhang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Co-Chief Financial Officer</w:t>
            </w:r>
          </w:p>
        </w:tc>
      </w:tr>
    </w:tbl>
    <w:p>
      <w:pPr>
        <w:pStyle w:val="TextBody"/>
        <w:bidi w:val="0"/>
        <w:spacing w:before="0" w:after="0"/>
        <w:ind w:left="0" w:right="0" w:hanging="0"/>
        <w:jc w:val="both"/>
        <w:rPr/>
      </w:pPr>
      <w:r>
        <w:rPr/>
        <w:t>​</w:t>
      </w:r>
    </w:p>
    <w:tbl>
      <w:tblPr>
        <w:tblW w:w="5163" w:type="dxa"/>
        <w:jc w:val="left"/>
        <w:tblInd w:w="0" w:type="dxa"/>
        <w:tblLayout w:type="fixed"/>
        <w:tblCellMar>
          <w:top w:w="0" w:type="dxa"/>
          <w:left w:w="0" w:type="dxa"/>
          <w:bottom w:w="0" w:type="dxa"/>
          <w:right w:w="0" w:type="dxa"/>
        </w:tblCellMar>
      </w:tblPr>
      <w:tblGrid>
        <w:gridCol w:w="2221"/>
        <w:gridCol w:w="631"/>
        <w:gridCol w:w="231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10335" cy="175260"/>
                      <wp:effectExtent l="0" t="0" r="0" b="0"/>
                      <wp:wrapNone/>
                      <wp:docPr id="6" name="Frame6"/>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67485" cy="175260"/>
                      <wp:effectExtent l="0" t="0" r="0" b="0"/>
                      <wp:wrapNone/>
                      <wp:docPr id="7" name="Frame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Josephine Ngai</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Co-Chief Financial Officer</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10, 2026</w:t>
            </w:r>
          </w:p>
        </w:tc>
        <w:tc>
          <w:tcPr>
            <w:tcW w:w="631"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bookmarkStart w:id="5" w:name="ambr-20260910xex99d1.htm"/>
        <w:bookmarkStart w:id="6" w:name="ksambr20260910xex99d1"/>
        <w:bookmarkEnd w:id="5"/>
        <w:bookmarkEnd w:id="6"/>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before="0" w:after="240"/>
        <w:ind w:left="0" w:right="0" w:hanging="0"/>
        <w:jc w:val="right"/>
        <w:rPr>
          <w:rFonts w:ascii="Times New Roman;Times;serif" w:hAnsi="Times New Roman;Times;serif"/>
          <w:b/>
          <w:sz w:val="20"/>
        </w:rPr>
      </w:pPr>
      <w:bookmarkStart w:id="7" w:name="_410bb38b_5d99_4c57_9677_51179c839cf9"/>
      <w:bookmarkEnd w:id="7"/>
      <w:r>
        <w:rPr>
          <w:rFonts w:ascii="Times New Roman;Times;serif" w:hAnsi="Times New Roman;Times;serif"/>
          <w:b/>
          <w:sz w:val="20"/>
        </w:rPr>
        <w:t>Exhibit 99.1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bookmarkStart w:id="8" w:name="TOC"/>
      <w:bookmarkEnd w:id="8"/>
      <w:r>
        <w:rPr>
          <w:rFonts w:ascii="Times New Roman;Times;serif" w:hAnsi="Times New Roman;Times;serif"/>
          <w:b/>
          <w:sz w:val="20"/>
        </w:rPr>
        <w:t>INDEX TO CONDENSED CONSOLIDATED INTERIM FINANCIAL STATEMENTS</w:t>
      </w:r>
    </w:p>
    <w:tbl>
      <w:tblPr>
        <w:tblW w:w="10205" w:type="dxa"/>
        <w:jc w:val="left"/>
        <w:tblInd w:w="0" w:type="dxa"/>
        <w:tblLayout w:type="fixed"/>
        <w:tblCellMar>
          <w:top w:w="0" w:type="dxa"/>
          <w:left w:w="0" w:type="dxa"/>
          <w:bottom w:w="0" w:type="dxa"/>
          <w:right w:w="0" w:type="dxa"/>
        </w:tblCellMar>
      </w:tblPr>
      <w:tblGrid>
        <w:gridCol w:w="9292"/>
        <w:gridCol w:w="913"/>
      </w:tblGrid>
      <w:tr>
        <w:trPr/>
        <w:tc>
          <w:tcPr>
            <w:tcW w:w="9292"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292" w:type="dxa"/>
            <w:tcBorders/>
            <w:shd w:fill="CCEEFF" w:val="clear"/>
            <w:vAlign w:val="center"/>
          </w:tcPr>
          <w:p>
            <w:pPr>
              <w:pStyle w:val="TableContents"/>
              <w:pBdr/>
              <w:bidi w:val="0"/>
              <w:spacing w:before="0" w:after="0"/>
              <w:ind w:left="0" w:right="0" w:hanging="0"/>
              <w:jc w:val="both"/>
              <w:rPr/>
            </w:pPr>
            <w:hyperlink w:anchor="CONDENSEDCONSOLIDATEDSTATEMENTSOFFINANCI">
              <w:r>
                <w:rPr>
                  <w:rStyle w:val="InternetLink"/>
                  <w:rFonts w:ascii="Times New Roman;Times;serif" w:hAnsi="Times New Roman;Times;serif"/>
                  <w:b w:val="false"/>
                  <w:i w:val="false"/>
                  <w:caps w:val="false"/>
                  <w:smallCaps w:val="false"/>
                  <w:sz w:val="20"/>
                </w:rPr>
                <w:t>Condensed Consolidated Statements of Financial Position as of December 31, 2025 and June 30, 2026</w:t>
              </w:r>
            </w:hyperlink>
          </w:p>
        </w:tc>
        <w:tc>
          <w:tcPr>
            <w:tcW w:w="91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F-2 - F-3</w:t>
            </w:r>
          </w:p>
        </w:tc>
      </w:tr>
      <w:tr>
        <w:trPr/>
        <w:tc>
          <w:tcPr>
            <w:tcW w:w="9292" w:type="dxa"/>
            <w:tcBorders/>
            <w:vAlign w:val="center"/>
          </w:tcPr>
          <w:p>
            <w:pPr>
              <w:pStyle w:val="TableContents"/>
              <w:pBdr/>
              <w:bidi w:val="0"/>
              <w:spacing w:before="0" w:after="0"/>
              <w:ind w:left="0" w:right="0" w:hanging="0"/>
              <w:jc w:val="both"/>
              <w:rPr/>
            </w:pPr>
            <w:hyperlink w:anchor="CONDENSEDCONSOLIDATEDSTATEMENTSOFPROFITO">
              <w:r>
                <w:rPr>
                  <w:rStyle w:val="InternetLink"/>
                  <w:rFonts w:ascii="Times New Roman;Times;serif" w:hAnsi="Times New Roman;Times;serif"/>
                  <w:b w:val="false"/>
                  <w:i w:val="false"/>
                  <w:caps w:val="false"/>
                  <w:smallCaps w:val="false"/>
                  <w:sz w:val="20"/>
                </w:rPr>
                <w:t>Condensed Consolidated Statements of Profit or Loss for the Six-month Ended June 30, 2025 and 2026</w:t>
              </w:r>
            </w:hyperlink>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292" w:type="dxa"/>
            <w:tcBorders/>
            <w:shd w:fill="CCEEFF" w:val="clear"/>
            <w:vAlign w:val="center"/>
          </w:tcPr>
          <w:p>
            <w:pPr>
              <w:pStyle w:val="TableContents"/>
              <w:pBdr/>
              <w:bidi w:val="0"/>
              <w:spacing w:before="0" w:after="0"/>
              <w:ind w:left="0" w:right="0" w:hanging="0"/>
              <w:jc w:val="both"/>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Income/(Loss) for the Six-month Ended June 30, 2025 and 2026</w:t>
              </w:r>
            </w:hyperlink>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292" w:type="dxa"/>
            <w:tcBorders/>
            <w:vAlign w:val="center"/>
          </w:tcPr>
          <w:p>
            <w:pPr>
              <w:pStyle w:val="TableContents"/>
              <w:pBdr/>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Shareholders’ Equity for the Six-month Ended June 30, 2025 and 2026</w:t>
              </w:r>
            </w:hyperlink>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292" w:type="dxa"/>
            <w:tcBorders/>
            <w:shd w:fill="CCEEFF" w:val="clear"/>
            <w:vAlign w:val="center"/>
          </w:tcPr>
          <w:p>
            <w:pPr>
              <w:pStyle w:val="TableContents"/>
              <w:pBdr/>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Six-month Ended June 30, 2025 and 2026</w:t>
              </w:r>
            </w:hyperlink>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F-7 - F-8</w:t>
            </w:r>
          </w:p>
        </w:tc>
      </w:tr>
      <w:tr>
        <w:trPr/>
        <w:tc>
          <w:tcPr>
            <w:tcW w:w="9292" w:type="dxa"/>
            <w:tcBorders/>
            <w:vAlign w:val="center"/>
          </w:tcPr>
          <w:p>
            <w:pPr>
              <w:pStyle w:val="TableContents"/>
              <w:pBdr/>
              <w:bidi w:val="0"/>
              <w:spacing w:before="0" w:after="0"/>
              <w:ind w:left="0" w:right="0" w:hanging="0"/>
              <w:jc w:val="both"/>
              <w:rPr/>
            </w:pPr>
            <w:hyperlink w:anchor="Organizationandprincipalactivities_99060">
              <w:r>
                <w:rPr>
                  <w:rStyle w:val="InternetLink"/>
                  <w:rFonts w:ascii="Times New Roman;Times;serif" w:hAnsi="Times New Roman;Times;serif"/>
                  <w:b w:val="false"/>
                  <w:i w:val="false"/>
                  <w:caps w:val="false"/>
                  <w:smallCaps w:val="false"/>
                  <w:sz w:val="20"/>
                </w:rPr>
                <w:t>Notes to the Condensed Consolidated Interim Financial Statements</w:t>
              </w:r>
            </w:hyperlink>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F-9 - F-23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9" w:name="_00640cee_ad0a_48e3_bb54_952ea8d507c5"/>
      <w:bookmarkEnd w:id="9"/>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both"/>
        <w:rPr>
          <w:rFonts w:ascii="Times New Roman;Times;serif" w:hAnsi="Times New Roman;Times;serif"/>
          <w:b/>
          <w:sz w:val="20"/>
        </w:rPr>
      </w:pPr>
      <w:bookmarkStart w:id="10" w:name="CONDENSEDCONSOLIDATEDSTATEMENTSOFFINANCI"/>
      <w:bookmarkEnd w:id="10"/>
      <w:r>
        <w:rPr>
          <w:rFonts w:ascii="Times New Roman;Times;serif" w:hAnsi="Times New Roman;Times;serif"/>
          <w:b/>
          <w:sz w:val="20"/>
        </w:rPr>
        <w:t>CONDENSED CONSOLIDATED STATEMENTS OF FINANCIAL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1" w:name="Tc_BC9l99lfpE-gxELgvEWPLQ_47_0"/>
      <w:bookmarkStart w:id="12" w:name="Tc_BGPd_n8KrkC-JfMKOdD_Mw_46_0"/>
      <w:bookmarkStart w:id="13" w:name="Tc_Xn4kjmk_nUGMY-md3PW5Cw_44_0"/>
      <w:bookmarkStart w:id="14" w:name="Tc_TSAggRqEhUSWigNVGw5Ocw_43_0"/>
      <w:bookmarkStart w:id="15" w:name="Tc_nWgd9l-zlUa-hlJOIDIwVQ_42_6"/>
      <w:bookmarkStart w:id="16" w:name="Tc_N4gS40wX7kOXhNoF8nawIA_42_0"/>
      <w:bookmarkStart w:id="17" w:name="Tc_otqwq8OLyU6GIpWbEHG47Q_41_2"/>
      <w:bookmarkStart w:id="18" w:name="Tc_7pWquzYUz0aC39MC9uJ1yQ_41_0"/>
      <w:bookmarkStart w:id="19" w:name="Tc_9HIy_gYJEkyqDHYmH7dr-Q_40_2"/>
      <w:bookmarkStart w:id="20" w:name="Tc_LWgbYzz7fE2G0tog2fs79Q_40_0"/>
      <w:bookmarkStart w:id="21" w:name="Tc_Cebe7JbEXUevtcna5rO1dw_39_0"/>
      <w:bookmarkStart w:id="22" w:name="Tc_3z0qNvo32kC_kPY14SHZCw_38_2"/>
      <w:bookmarkStart w:id="23" w:name="Tc_JP_Zl37JoEK5EBqFbdpayA_38_0"/>
      <w:bookmarkStart w:id="24" w:name="Tc_hl27HAqYHEOSrimo1AAybg_37_2"/>
      <w:bookmarkStart w:id="25" w:name="Tc__4T1KgqFt0aG04Xkn2hY5A_37_0"/>
      <w:bookmarkStart w:id="26" w:name="Tc_3vylTMH9MUORhyRWGh6eYQ_36_0"/>
      <w:bookmarkStart w:id="27" w:name="Tc_Kt-Leui8n0OBM48B0XS3zw_35_0"/>
      <w:bookmarkStart w:id="28" w:name="Tc_FDL6rFahqEqkx4gB2wN_Zg_33_0"/>
      <w:bookmarkStart w:id="29" w:name="Tc_KcMFi7cwF0mFjqn8hHfzXw_31_0"/>
      <w:bookmarkStart w:id="30" w:name="Tc_bcn4od2gq0WtSXCYZ4RNgw_30_0"/>
      <w:bookmarkStart w:id="31" w:name="Tc_o4Dh2h9_BE-Ymg3ozVaLSA_29_2"/>
      <w:bookmarkStart w:id="32" w:name="Tc_ad0O7oJQpUKTv66JbnbPGw_29_0"/>
      <w:bookmarkStart w:id="33" w:name="Tc_WHNdvYdnS0mUfPnk-rEgBA_28_2"/>
      <w:bookmarkStart w:id="34" w:name="Tc_5t2vflhVR0yVVPITmDSpRg_28_0"/>
      <w:bookmarkStart w:id="35" w:name="Tc_--0nyVLGp0a0bklvXDZDkA_27_0"/>
      <w:bookmarkStart w:id="36" w:name="Tc_itTIDZIlE0q59dTP38EF9w_26_0"/>
      <w:bookmarkStart w:id="37" w:name="Tc_rFzCxu6z_kSDWZHNcDVSHQ_25_2"/>
      <w:bookmarkStart w:id="38" w:name="Tc_1xO__05E9E2vlv5Ecbwp8Q_25_0"/>
      <w:bookmarkStart w:id="39" w:name="Tc_lqQByQ6HE0iBysdESBWR0g_24_2"/>
      <w:bookmarkStart w:id="40" w:name="Tc_H5u2xGRI-0WN-OjfnfH3JA_24_0"/>
      <w:bookmarkStart w:id="41" w:name="Tc_O6lHmfnfBkq9o-3HwYQa4Q_23_0"/>
      <w:bookmarkStart w:id="42" w:name="Tc_RqywMyrcLE-iribn8A8ygQ_22_0"/>
      <w:bookmarkStart w:id="43" w:name="Tc_t99yhh2lvUmc3q9DmeZ2oA_20_0"/>
      <w:bookmarkStart w:id="44" w:name="Tc_oYmXiXIAlUyBmJdJX15CXw_19_0"/>
      <w:bookmarkStart w:id="45" w:name="Tc_8WUKteG_pE-E68NeEnD2Mw_17_6"/>
      <w:bookmarkStart w:id="46" w:name="Tc_J0Gx4aCEwEmNwDAc3T4UYA_17_0"/>
      <w:bookmarkStart w:id="47" w:name="Tc_807dX6EDU0O3gpbMcm5onw_16_2"/>
      <w:bookmarkStart w:id="48" w:name="Tc_5TIqXz88SUS35dVNWsSyeA_16_0"/>
      <w:bookmarkStart w:id="49" w:name="Tc_PZ5zqjF-e0mP4hL-y9SPEg_15_2"/>
      <w:bookmarkStart w:id="50" w:name="Tc_5uxD5ZJgNE6lRpiOibVPXg_15_0"/>
      <w:bookmarkStart w:id="51" w:name="Tc_pcq_CgwkxkSkYqsQ_CnCVg_14_2"/>
      <w:bookmarkStart w:id="52" w:name="Tc_oGpqwiQg-0CK6eOUatUrpg_14_0"/>
      <w:bookmarkStart w:id="53" w:name="Tc_-WhcV-0I6UaehS-O066x3Q_13_2"/>
      <w:bookmarkStart w:id="54" w:name="Tc_oS0kM5nWj0aoPsjqrTVf6g_13_0"/>
      <w:bookmarkStart w:id="55" w:name="Tc_DptyPN5K-UOUY3M_E8KBzg_12_0"/>
      <w:bookmarkStart w:id="56" w:name="Tc_CnTyRwyMN0u-Qfm89F7fdA_11_2"/>
      <w:bookmarkStart w:id="57" w:name="Tc_lObNMWtXXEa8Wu_IJS6wUw_11_0"/>
      <w:bookmarkStart w:id="58" w:name="Tc_aZ-ZwF279Uu3Ozl3g4JAlw_10_2"/>
      <w:bookmarkStart w:id="59" w:name="Tc_5cImMzz4A0qdKDlSeUJyew_10_0"/>
      <w:bookmarkStart w:id="60" w:name="Tc_ZibPfyz6l0CB3_Sfpnmo-Q_9_2"/>
      <w:bookmarkStart w:id="61" w:name="Tc_fsIDm_6QeEqHcJ24l4dCOQ_9_0"/>
      <w:bookmarkStart w:id="62" w:name="Tc_Gqj3AFwHwkmsAVSejwxOlQ_8_2"/>
      <w:bookmarkStart w:id="63" w:name="Tc_RWwFCcsIH06zO7LVMVD2aA_8_0"/>
      <w:bookmarkStart w:id="64" w:name="Tc_E5u4EBWcvESnOAxR_Fo3qw_7_2"/>
      <w:bookmarkStart w:id="65" w:name="Tc_1bNMCK_2tE6mef983fNQUg_7_0"/>
      <w:bookmarkStart w:id="66" w:name="Tc_GaIIZYgCLUeyomB1cB6znw_6_0"/>
      <w:bookmarkStart w:id="67" w:name="Tc_G7GeHCJZ50yp4rf6YRiA7g_5_0"/>
      <w:bookmarkStart w:id="68" w:name="Tc_R2ru1ytUyU-BMmsxOAFboQ_4_6"/>
      <w:bookmarkStart w:id="69" w:name="Tc_ui8zRfCM00GHacchZfabsQ_4_4"/>
      <w:bookmarkStart w:id="70" w:name="Tc_jyy7z3sCkUqxerAFPg4RkA_3_6"/>
      <w:bookmarkStart w:id="71" w:name="Tc_CNUTc0fY2EC4ZlnHRV2NTA_3_4"/>
      <w:bookmarkStart w:id="72" w:name="Tc_rI2_Bdj-IU6NONHSnUOjPw_3_2"/>
      <w:bookmarkStart w:id="73" w:name="Tc_lSfJMVNXrkeVVXt5emL90g_2_6"/>
      <w:bookmarkStart w:id="74" w:name="Tc_yu9oyvm3Ykq4nKyUhDGVWQ_2_4"/>
      <w:bookmarkStart w:id="75" w:name="Tc_SFpye_944UO2DQriZ3ud9g_1_6"/>
      <w:bookmarkStart w:id="76" w:name="Tc_qwNAV0VRAUOKKqHZnVjQpQ_1_4"/>
      <w:bookmarkStart w:id="77" w:name="_744750fa_4a24_49ed_92ae_618c8acd78fb"/>
      <w:bookmarkStart w:id="78" w:name="Tc_BC9l99lfpE-gxELgvEWPLQ_47_0"/>
      <w:bookmarkStart w:id="79" w:name="Tc_BGPd_n8KrkC-JfMKOdD_Mw_46_0"/>
      <w:bookmarkStart w:id="80" w:name="Tc_Xn4kjmk_nUGMY-md3PW5Cw_44_0"/>
      <w:bookmarkStart w:id="81" w:name="Tc_TSAggRqEhUSWigNVGw5Ocw_43_0"/>
      <w:bookmarkStart w:id="82" w:name="Tc_nWgd9l-zlUa-hlJOIDIwVQ_42_6"/>
      <w:bookmarkStart w:id="83" w:name="Tc_N4gS40wX7kOXhNoF8nawIA_42_0"/>
      <w:bookmarkStart w:id="84" w:name="Tc_otqwq8OLyU6GIpWbEHG47Q_41_2"/>
      <w:bookmarkStart w:id="85" w:name="Tc_7pWquzYUz0aC39MC9uJ1yQ_41_0"/>
      <w:bookmarkStart w:id="86" w:name="Tc_9HIy_gYJEkyqDHYmH7dr-Q_40_2"/>
      <w:bookmarkStart w:id="87" w:name="Tc_LWgbYzz7fE2G0tog2fs79Q_40_0"/>
      <w:bookmarkStart w:id="88" w:name="Tc_Cebe7JbEXUevtcna5rO1dw_39_0"/>
      <w:bookmarkStart w:id="89" w:name="Tc_3z0qNvo32kC_kPY14SHZCw_38_2"/>
      <w:bookmarkStart w:id="90" w:name="Tc_JP_Zl37JoEK5EBqFbdpayA_38_0"/>
      <w:bookmarkStart w:id="91" w:name="Tc_hl27HAqYHEOSrimo1AAybg_37_2"/>
      <w:bookmarkStart w:id="92" w:name="Tc__4T1KgqFt0aG04Xkn2hY5A_37_0"/>
      <w:bookmarkStart w:id="93" w:name="Tc_3vylTMH9MUORhyRWGh6eYQ_36_0"/>
      <w:bookmarkStart w:id="94" w:name="Tc_Kt-Leui8n0OBM48B0XS3zw_35_0"/>
      <w:bookmarkStart w:id="95" w:name="Tc_FDL6rFahqEqkx4gB2wN_Zg_33_0"/>
      <w:bookmarkStart w:id="96" w:name="Tc_KcMFi7cwF0mFjqn8hHfzXw_31_0"/>
      <w:bookmarkStart w:id="97" w:name="Tc_bcn4od2gq0WtSXCYZ4RNgw_30_0"/>
      <w:bookmarkStart w:id="98" w:name="Tc_o4Dh2h9_BE-Ymg3ozVaLSA_29_2"/>
      <w:bookmarkStart w:id="99" w:name="Tc_ad0O7oJQpUKTv66JbnbPGw_29_0"/>
      <w:bookmarkStart w:id="100" w:name="Tc_WHNdvYdnS0mUfPnk-rEgBA_28_2"/>
      <w:bookmarkStart w:id="101" w:name="Tc_5t2vflhVR0yVVPITmDSpRg_28_0"/>
      <w:bookmarkStart w:id="102" w:name="Tc_--0nyVLGp0a0bklvXDZDkA_27_0"/>
      <w:bookmarkStart w:id="103" w:name="Tc_itTIDZIlE0q59dTP38EF9w_26_0"/>
      <w:bookmarkStart w:id="104" w:name="Tc_rFzCxu6z_kSDWZHNcDVSHQ_25_2"/>
      <w:bookmarkStart w:id="105" w:name="Tc_1xO__05E9E2vlv5Ecbwp8Q_25_0"/>
      <w:bookmarkStart w:id="106" w:name="Tc_lqQByQ6HE0iBysdESBWR0g_24_2"/>
      <w:bookmarkStart w:id="107" w:name="Tc_H5u2xGRI-0WN-OjfnfH3JA_24_0"/>
      <w:bookmarkStart w:id="108" w:name="Tc_O6lHmfnfBkq9o-3HwYQa4Q_23_0"/>
      <w:bookmarkStart w:id="109" w:name="Tc_RqywMyrcLE-iribn8A8ygQ_22_0"/>
      <w:bookmarkStart w:id="110" w:name="Tc_t99yhh2lvUmc3q9DmeZ2oA_20_0"/>
      <w:bookmarkStart w:id="111" w:name="Tc_oYmXiXIAlUyBmJdJX15CXw_19_0"/>
      <w:bookmarkStart w:id="112" w:name="Tc_8WUKteG_pE-E68NeEnD2Mw_17_6"/>
      <w:bookmarkStart w:id="113" w:name="Tc_J0Gx4aCEwEmNwDAc3T4UYA_17_0"/>
      <w:bookmarkStart w:id="114" w:name="Tc_807dX6EDU0O3gpbMcm5onw_16_2"/>
      <w:bookmarkStart w:id="115" w:name="Tc_5TIqXz88SUS35dVNWsSyeA_16_0"/>
      <w:bookmarkStart w:id="116" w:name="Tc_PZ5zqjF-e0mP4hL-y9SPEg_15_2"/>
      <w:bookmarkStart w:id="117" w:name="Tc_5uxD5ZJgNE6lRpiOibVPXg_15_0"/>
      <w:bookmarkStart w:id="118" w:name="Tc_pcq_CgwkxkSkYqsQ_CnCVg_14_2"/>
      <w:bookmarkStart w:id="119" w:name="Tc_oGpqwiQg-0CK6eOUatUrpg_14_0"/>
      <w:bookmarkStart w:id="120" w:name="Tc_-WhcV-0I6UaehS-O066x3Q_13_2"/>
      <w:bookmarkStart w:id="121" w:name="Tc_oS0kM5nWj0aoPsjqrTVf6g_13_0"/>
      <w:bookmarkStart w:id="122" w:name="Tc_DptyPN5K-UOUY3M_E8KBzg_12_0"/>
      <w:bookmarkStart w:id="123" w:name="Tc_CnTyRwyMN0u-Qfm89F7fdA_11_2"/>
      <w:bookmarkStart w:id="124" w:name="Tc_lObNMWtXXEa8Wu_IJS6wUw_11_0"/>
      <w:bookmarkStart w:id="125" w:name="Tc_aZ-ZwF279Uu3Ozl3g4JAlw_10_2"/>
      <w:bookmarkStart w:id="126" w:name="Tc_5cImMzz4A0qdKDlSeUJyew_10_0"/>
      <w:bookmarkStart w:id="127" w:name="Tc_ZibPfyz6l0CB3_Sfpnmo-Q_9_2"/>
      <w:bookmarkStart w:id="128" w:name="Tc_fsIDm_6QeEqHcJ24l4dCOQ_9_0"/>
      <w:bookmarkStart w:id="129" w:name="Tc_Gqj3AFwHwkmsAVSejwxOlQ_8_2"/>
      <w:bookmarkStart w:id="130" w:name="Tc_RWwFCcsIH06zO7LVMVD2aA_8_0"/>
      <w:bookmarkStart w:id="131" w:name="Tc_E5u4EBWcvESnOAxR_Fo3qw_7_2"/>
      <w:bookmarkStart w:id="132" w:name="Tc_1bNMCK_2tE6mef983fNQUg_7_0"/>
      <w:bookmarkStart w:id="133" w:name="Tc_GaIIZYgCLUeyomB1cB6znw_6_0"/>
      <w:bookmarkStart w:id="134" w:name="Tc_G7GeHCJZ50yp4rf6YRiA7g_5_0"/>
      <w:bookmarkStart w:id="135" w:name="Tc_R2ru1ytUyU-BMmsxOAFboQ_4_6"/>
      <w:bookmarkStart w:id="136" w:name="Tc_ui8zRfCM00GHacchZfabsQ_4_4"/>
      <w:bookmarkStart w:id="137" w:name="Tc_jyy7z3sCkUqxerAFPg4RkA_3_6"/>
      <w:bookmarkStart w:id="138" w:name="Tc_CNUTc0fY2EC4ZlnHRV2NTA_3_4"/>
      <w:bookmarkStart w:id="139" w:name="Tc_rI2_Bdj-IU6NONHSnUOjPw_3_2"/>
      <w:bookmarkStart w:id="140" w:name="Tc_lSfJMVNXrkeVVXt5emL90g_2_6"/>
      <w:bookmarkStart w:id="141" w:name="Tc_yu9oyvm3Ykq4nKyUhDGVWQ_2_4"/>
      <w:bookmarkStart w:id="142" w:name="Tc_SFpye_944UO2DQriZ3ud9g_1_6"/>
      <w:bookmarkStart w:id="143" w:name="Tc_qwNAV0VRAUOKKqHZnVjQpQ_1_4"/>
      <w:bookmarkStart w:id="144" w:name="_744750fa_4a24_49ed_92ae_618c8acd78fb"/>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tbl>
      <w:tblPr>
        <w:tblW w:w="7807" w:type="dxa"/>
        <w:jc w:val="left"/>
        <w:tblInd w:w="0" w:type="dxa"/>
        <w:tblLayout w:type="fixed"/>
        <w:tblCellMar>
          <w:top w:w="0" w:type="dxa"/>
          <w:left w:w="0" w:type="dxa"/>
          <w:bottom w:w="0" w:type="dxa"/>
          <w:right w:w="0" w:type="dxa"/>
        </w:tblCellMar>
      </w:tblPr>
      <w:tblGrid>
        <w:gridCol w:w="4231"/>
        <w:gridCol w:w="346"/>
        <w:gridCol w:w="451"/>
        <w:gridCol w:w="346"/>
        <w:gridCol w:w="1096"/>
        <w:gridCol w:w="346"/>
        <w:gridCol w:w="991"/>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686685" cy="175260"/>
                      <wp:effectExtent l="0" t="0" r="0" b="0"/>
                      <wp:wrapNone/>
                      <wp:docPr id="8" name="Frame8"/>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86385" cy="175260"/>
                      <wp:effectExtent l="0" t="0" r="0" b="0"/>
                      <wp:wrapNone/>
                      <wp:docPr id="10" name="Frame1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5960" cy="175260"/>
                      <wp:effectExtent l="0" t="0" r="0" b="0"/>
                      <wp:wrapNone/>
                      <wp:docPr id="12" name="Frame1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29285" cy="175260"/>
                      <wp:effectExtent l="0" t="0" r="0" b="0"/>
                      <wp:wrapNone/>
                      <wp:docPr id="14" name="Frame1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3,171</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45,958</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recoverable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32,341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60,081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at fair value through profits or loss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13,647</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Crypto assets loan receivables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57,788</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196,915</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238,712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classified as held for sale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196,932</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238,722</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53,136</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accounted for using equity method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at fair value through profits or loss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59,447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59,326</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256,379</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298,048</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11,192</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 payables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75,558</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8,232</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due to customers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61,351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48,031</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144,021</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193,641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classified as held for sale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145,298</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194,906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both"/>
        <w:rPr>
          <w:rFonts w:ascii="Times New Roman;Times;serif" w:hAnsi="Times New Roman;Times;serif"/>
          <w:b/>
          <w:sz w:val="20"/>
        </w:rPr>
      </w:pPr>
      <w:bookmarkStart w:id="145" w:name="STATEMENTSOFFINANCIALPOSITIONCONTINUED_5"/>
      <w:bookmarkEnd w:id="145"/>
      <w:r>
        <w:rPr>
          <w:rFonts w:ascii="Times New Roman;Times;serif" w:hAnsi="Times New Roman;Times;serif"/>
          <w:b/>
          <w:sz w:val="20"/>
        </w:rPr>
        <w:t>CONDENSED CONSOLIDATED STATEMENTS OF FINANCIAL POSITION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46" w:name="Tc_rx3EmItfIUOMF2fNdicQ0A_20_0"/>
      <w:bookmarkStart w:id="147" w:name="Tc_3heQFiMgv068Bhx7_9cMTQ_18_0"/>
      <w:bookmarkStart w:id="148" w:name="Tc_Yr_aiTFICEebxRC84JiteQ_17_0"/>
      <w:bookmarkStart w:id="149" w:name="Tc_XCzfprFL9kKODwWMs9naYg_16_0"/>
      <w:bookmarkStart w:id="150" w:name="Tc_F-abU7A9qUmht5ySARl8EA_15_0"/>
      <w:bookmarkStart w:id="151" w:name="Tc_YRihBVkqM0a8yyWCJzyznQ_14_0"/>
      <w:bookmarkStart w:id="152" w:name="Tc_6OnGdsQCJUGNZ7I5MHeQJw_13_0"/>
      <w:bookmarkStart w:id="153" w:name="Tc_CzQOl3iC-kaG1s8xfzO9TA_12_0"/>
      <w:bookmarkStart w:id="154" w:name="Tc_BGbgdPhYrUOkFhVbc67hWg_10_0"/>
      <w:bookmarkStart w:id="155" w:name="Tc_8ev04ArDUE2LKfSNauFe3w_8_0"/>
      <w:bookmarkStart w:id="156" w:name="Tc_lxK4nOq0E0esiBTH8vgoxA_7_2"/>
      <w:bookmarkStart w:id="157" w:name="Tc_F5HUN8x0nU6VIaRHcvjq-w_7_0"/>
      <w:bookmarkStart w:id="158" w:name="Tc_DBwthHC6GESriCnmhgpRTA_6_0"/>
      <w:bookmarkStart w:id="159" w:name="Tc_1LHUWKCFfUiQ3ahJoKrfwQ_5_0"/>
      <w:bookmarkStart w:id="160" w:name="Tc_U2_VyxorekCqtTdwUVUPiw_4_6"/>
      <w:bookmarkStart w:id="161" w:name="Tc_qFk-BAMu9kqz3xT4zURZ8A_4_4"/>
      <w:bookmarkStart w:id="162" w:name="Tc_YWcRizAghUeDZpAvyCNuwg_3_6"/>
      <w:bookmarkStart w:id="163" w:name="Tc_KQGn8I0LVkONaUVUhmXI6Q_3_4"/>
      <w:bookmarkStart w:id="164" w:name="Tc_96rgC8WWp0GhFRnwACoidQ_3_2"/>
      <w:bookmarkStart w:id="165" w:name="Tc_xO9nFRyFL0K20Nbo0eCKTg_2_6"/>
      <w:bookmarkStart w:id="166" w:name="Tc_TB6-CK6Wy0e6j3aih57ogQ_2_4"/>
      <w:bookmarkStart w:id="167" w:name="Tc_6j-XhiynqESX1CEx5uYDYQ_1_6"/>
      <w:bookmarkStart w:id="168" w:name="Tc_kyDmhBxIfUCvwmK97ufPtg_1_4"/>
      <w:bookmarkStart w:id="169" w:name="_e72f060a_e618_4438_95b0_9f6a29818b09"/>
      <w:bookmarkStart w:id="170" w:name="Tc_rx3EmItfIUOMF2fNdicQ0A_20_0"/>
      <w:bookmarkStart w:id="171" w:name="Tc_3heQFiMgv068Bhx7_9cMTQ_18_0"/>
      <w:bookmarkStart w:id="172" w:name="Tc_Yr_aiTFICEebxRC84JiteQ_17_0"/>
      <w:bookmarkStart w:id="173" w:name="Tc_XCzfprFL9kKODwWMs9naYg_16_0"/>
      <w:bookmarkStart w:id="174" w:name="Tc_F-abU7A9qUmht5ySARl8EA_15_0"/>
      <w:bookmarkStart w:id="175" w:name="Tc_YRihBVkqM0a8yyWCJzyznQ_14_0"/>
      <w:bookmarkStart w:id="176" w:name="Tc_6OnGdsQCJUGNZ7I5MHeQJw_13_0"/>
      <w:bookmarkStart w:id="177" w:name="Tc_CzQOl3iC-kaG1s8xfzO9TA_12_0"/>
      <w:bookmarkStart w:id="178" w:name="Tc_BGbgdPhYrUOkFhVbc67hWg_10_0"/>
      <w:bookmarkStart w:id="179" w:name="Tc_8ev04ArDUE2LKfSNauFe3w_8_0"/>
      <w:bookmarkStart w:id="180" w:name="Tc_lxK4nOq0E0esiBTH8vgoxA_7_2"/>
      <w:bookmarkStart w:id="181" w:name="Tc_F5HUN8x0nU6VIaRHcvjq-w_7_0"/>
      <w:bookmarkStart w:id="182" w:name="Tc_DBwthHC6GESriCnmhgpRTA_6_0"/>
      <w:bookmarkStart w:id="183" w:name="Tc_1LHUWKCFfUiQ3ahJoKrfwQ_5_0"/>
      <w:bookmarkStart w:id="184" w:name="Tc_U2_VyxorekCqtTdwUVUPiw_4_6"/>
      <w:bookmarkStart w:id="185" w:name="Tc_qFk-BAMu9kqz3xT4zURZ8A_4_4"/>
      <w:bookmarkStart w:id="186" w:name="Tc_YWcRizAghUeDZpAvyCNuwg_3_6"/>
      <w:bookmarkStart w:id="187" w:name="Tc_KQGn8I0LVkONaUVUhmXI6Q_3_4"/>
      <w:bookmarkStart w:id="188" w:name="Tc_96rgC8WWp0GhFRnwACoidQ_3_2"/>
      <w:bookmarkStart w:id="189" w:name="Tc_xO9nFRyFL0K20Nbo0eCKTg_2_6"/>
      <w:bookmarkStart w:id="190" w:name="Tc_TB6-CK6Wy0e6j3aih57ogQ_2_4"/>
      <w:bookmarkStart w:id="191" w:name="Tc_6j-XhiynqESX1CEx5uYDYQ_1_6"/>
      <w:bookmarkStart w:id="192" w:name="Tc_kyDmhBxIfUCvwmK97ufPtg_1_4"/>
      <w:bookmarkStart w:id="193" w:name="_e72f060a_e618_4438_95b0_9f6a29818b0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6052" w:type="dxa"/>
        <w:jc w:val="left"/>
        <w:tblInd w:w="0" w:type="dxa"/>
        <w:tblLayout w:type="fixed"/>
        <w:tblCellMar>
          <w:top w:w="0" w:type="dxa"/>
          <w:left w:w="0" w:type="dxa"/>
          <w:bottom w:w="0" w:type="dxa"/>
          <w:right w:w="0" w:type="dxa"/>
        </w:tblCellMar>
      </w:tblPr>
      <w:tblGrid>
        <w:gridCol w:w="2476"/>
        <w:gridCol w:w="346"/>
        <w:gridCol w:w="451"/>
        <w:gridCol w:w="346"/>
        <w:gridCol w:w="1096"/>
        <w:gridCol w:w="346"/>
        <w:gridCol w:w="99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572260" cy="175260"/>
                      <wp:effectExtent l="0" t="0" r="0" b="0"/>
                      <wp:wrapNone/>
                      <wp:docPr id="15" name="Frame15"/>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86385" cy="175260"/>
                      <wp:effectExtent l="0" t="0" r="0" b="0"/>
                      <wp:wrapNone/>
                      <wp:docPr id="17" name="Frame1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5960" cy="175260"/>
                      <wp:effectExtent l="0" t="0" r="0" b="0"/>
                      <wp:wrapNone/>
                      <wp:docPr id="19" name="Frame1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29285" cy="175260"/>
                      <wp:effectExtent l="0" t="0" r="0" b="0"/>
                      <wp:wrapNone/>
                      <wp:docPr id="21" name="Frame2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769</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w:t>
            </w:r>
          </w:p>
        </w:tc>
      </w:tr>
      <w:tr>
        <w:trPr/>
        <w:tc>
          <w:tcPr>
            <w:tcW w:w="24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146,067</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195,227</w:t>
            </w:r>
          </w:p>
        </w:tc>
      </w:tr>
      <w:tr>
        <w:trPr/>
        <w:tc>
          <w:tcPr>
            <w:tcW w:w="24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capital</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premium</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90,540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90,540</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reserves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53,010</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losses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(33,139)</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(35,373)</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110,312</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102,821</w:t>
            </w:r>
          </w:p>
        </w:tc>
      </w:tr>
      <w:tr>
        <w:trPr/>
        <w:tc>
          <w:tcPr>
            <w:tcW w:w="24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 and liabilities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256,379</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298,048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4" w:name="_00dd8d6a_bec8_43c2_be8b_f315cc74b62f"/>
      <w:bookmarkEnd w:id="194"/>
      <w:r>
        <w:rPr>
          <w:rFonts w:ascii="Times New Roman;Times;serif" w:hAnsi="Times New Roman;Times;serif"/>
          <w:b/>
          <w:sz w:val="20"/>
        </w:rPr>
        <w:t>AMBER INTERNATIONAL HOLDING LIMITED</w:t>
      </w:r>
    </w:p>
    <w:p>
      <w:pPr>
        <w:pStyle w:val="TextBody"/>
        <w:bidi w:val="0"/>
        <w:spacing w:before="0" w:after="0"/>
        <w:ind w:left="0" w:right="0" w:hanging="0"/>
        <w:jc w:val="both"/>
        <w:rPr>
          <w:rFonts w:ascii="Times New Roman;Times;serif" w:hAnsi="Times New Roman;Times;serif"/>
          <w:b/>
          <w:sz w:val="20"/>
        </w:rPr>
      </w:pPr>
      <w:bookmarkStart w:id="195" w:name="CONDENSEDCONSOLIDATEDSTATEMENTSOFPROFITO"/>
      <w:bookmarkEnd w:id="195"/>
      <w:r>
        <w:rPr>
          <w:rFonts w:ascii="Times New Roman;Times;serif" w:hAnsi="Times New Roman;Times;serif"/>
          <w:b/>
          <w:sz w:val="20"/>
        </w:rPr>
        <w:t>CONDENSED CONSOLIDATED STATEMENTS OF PROFIT OR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96" w:name="Tc_fuktXYdNrUiOOELtwgawoA_34_0"/>
      <w:bookmarkStart w:id="197" w:name="Tc_AUQGe5EVtky4XuIGpm7bFA_32_0"/>
      <w:bookmarkStart w:id="198" w:name="Tc_MW5a7esiCkiw7HEThDykYg_31_0"/>
      <w:bookmarkStart w:id="199" w:name="Tc_WxEBxKHXY0ehVo3tXpDwxA_29_2"/>
      <w:bookmarkStart w:id="200" w:name="Tc_EVsu8QxknEuXOETLPd3OkQ_29_0"/>
      <w:bookmarkStart w:id="201" w:name="Tc_uZ052L87GU2D1JZyT1WsNg_28_2"/>
      <w:bookmarkStart w:id="202" w:name="Tc_pGkyfVD9A0OtSDsyCIKnaA_28_0"/>
      <w:bookmarkStart w:id="203" w:name="Tc_8nFUFxJPWkmwhiNdL_2E8A_27_0"/>
      <w:bookmarkStart w:id="204" w:name="Tc_5IOZ0lI4NEe7kX4xkdnUrA_25_0"/>
      <w:bookmarkStart w:id="205" w:name="Tc_6vNJdCJHy0qlJUAMvn2-gA_24_4"/>
      <w:bookmarkStart w:id="206" w:name="Tc_lmLKKi7RUEi6oxWND0Zkpw_24_0"/>
      <w:bookmarkStart w:id="207" w:name="Tc_kosCo9zZr0KLzmU5j0g0-Q_23_0"/>
      <w:bookmarkStart w:id="208" w:name="Tc_f-v2MRcVqUi8Q14_g7UEvg_22_6"/>
      <w:bookmarkStart w:id="209" w:name="Tc_zWrRUifDukyOG2avJybk9g_22_4"/>
      <w:bookmarkStart w:id="210" w:name="Tc_5lkd2CTe_kS3LBs5c31Pqw_22_0"/>
      <w:bookmarkStart w:id="211" w:name="Tc_D9JycCrtY0WYjpyKfnKz7w_21_0"/>
      <w:bookmarkStart w:id="212" w:name="Tc_iPsrt5ZoN0-KFuBeFP2nfA_20_2"/>
      <w:bookmarkStart w:id="213" w:name="Tc_4UwrBnb7QUuMMepyxQ8__A_20_0"/>
      <w:bookmarkStart w:id="214" w:name="Tc_LWK2eAumuUy6f2r_nU5iVg_19_0"/>
      <w:bookmarkStart w:id="215" w:name="Tc_7u-6_isVsU6wJ6FrY15QGg_18_0"/>
      <w:bookmarkStart w:id="216" w:name="Tc_aKxLsjNYU0uqFWl5skZlPQ_16_0"/>
      <w:bookmarkStart w:id="217" w:name="Tc__8hdaWKk60m5-5jPg0UR-g_14_0"/>
      <w:bookmarkStart w:id="218" w:name="Tc_Lg0XTMNaikeligPJoZeNKw_13_0"/>
      <w:bookmarkStart w:id="219" w:name="Tc_Kz5VcmbXfUuGNKD6bUlvpA_12_0"/>
      <w:bookmarkStart w:id="220" w:name="Tc_6adpfhhg40ut3SSRRtM6fw_11_0"/>
      <w:bookmarkStart w:id="221" w:name="Tc_X8cRYpkuMkaVOHB8PoFkzw_10_0"/>
      <w:bookmarkStart w:id="222" w:name="Tc_5qGZo8O37kK_6RIJIhJKBA_8_0"/>
      <w:bookmarkStart w:id="223" w:name="Tc_Pnr-XmumqECkrXjrquLH7w_7_0"/>
      <w:bookmarkStart w:id="224" w:name="Tc_INQkgMdpCUO-fUsthRZA0Q_6_2"/>
      <w:bookmarkStart w:id="225" w:name="Tc_RQm7bq_r8kuM5Nitk5Me_g_6_0"/>
      <w:bookmarkStart w:id="226" w:name="Tc_M8dtW_oJWkiLPb87RR6Khw_5_0"/>
      <w:bookmarkStart w:id="227" w:name="Tc_qYb-i1xPjUuetzmZRAiXuw_4_6"/>
      <w:bookmarkStart w:id="228" w:name="Tc_1aG4dJflyEe_IzWT1kSR-A_4_4"/>
      <w:bookmarkStart w:id="229" w:name="Tc_CBFX75HBzk-2zRsAn2bQ8g_3_6"/>
      <w:bookmarkStart w:id="230" w:name="Tc_HuwXQAUtlEOmuhjKzKGKHA_3_4"/>
      <w:bookmarkStart w:id="231" w:name="Tc_vCyivY4bYkqM8aOJ5sLX_g_3_2"/>
      <w:bookmarkStart w:id="232" w:name="Tc_TbvG_4mhNke-xBNWnhnPfQ_2_4"/>
      <w:bookmarkStart w:id="233" w:name="Tc_m-vGR8TGV0WvV6wycFJW_Q_1_4"/>
      <w:bookmarkStart w:id="234" w:name="_12b9fb82_15f0_47b2_85d4_02083a4a9621"/>
      <w:bookmarkStart w:id="235" w:name="Tc_fuktXYdNrUiOOELtwgawoA_34_0"/>
      <w:bookmarkStart w:id="236" w:name="Tc_AUQGe5EVtky4XuIGpm7bFA_32_0"/>
      <w:bookmarkStart w:id="237" w:name="Tc_MW5a7esiCkiw7HEThDykYg_31_0"/>
      <w:bookmarkStart w:id="238" w:name="Tc_WxEBxKHXY0ehVo3tXpDwxA_29_2"/>
      <w:bookmarkStart w:id="239" w:name="Tc_EVsu8QxknEuXOETLPd3OkQ_29_0"/>
      <w:bookmarkStart w:id="240" w:name="Tc_uZ052L87GU2D1JZyT1WsNg_28_2"/>
      <w:bookmarkStart w:id="241" w:name="Tc_pGkyfVD9A0OtSDsyCIKnaA_28_0"/>
      <w:bookmarkStart w:id="242" w:name="Tc_8nFUFxJPWkmwhiNdL_2E8A_27_0"/>
      <w:bookmarkStart w:id="243" w:name="Tc_5IOZ0lI4NEe7kX4xkdnUrA_25_0"/>
      <w:bookmarkStart w:id="244" w:name="Tc_6vNJdCJHy0qlJUAMvn2-gA_24_4"/>
      <w:bookmarkStart w:id="245" w:name="Tc_lmLKKi7RUEi6oxWND0Zkpw_24_0"/>
      <w:bookmarkStart w:id="246" w:name="Tc_kosCo9zZr0KLzmU5j0g0-Q_23_0"/>
      <w:bookmarkStart w:id="247" w:name="Tc_f-v2MRcVqUi8Q14_g7UEvg_22_6"/>
      <w:bookmarkStart w:id="248" w:name="Tc_zWrRUifDukyOG2avJybk9g_22_4"/>
      <w:bookmarkStart w:id="249" w:name="Tc_5lkd2CTe_kS3LBs5c31Pqw_22_0"/>
      <w:bookmarkStart w:id="250" w:name="Tc_D9JycCrtY0WYjpyKfnKz7w_21_0"/>
      <w:bookmarkStart w:id="251" w:name="Tc_iPsrt5ZoN0-KFuBeFP2nfA_20_2"/>
      <w:bookmarkStart w:id="252" w:name="Tc_4UwrBnb7QUuMMepyxQ8__A_20_0"/>
      <w:bookmarkStart w:id="253" w:name="Tc_LWK2eAumuUy6f2r_nU5iVg_19_0"/>
      <w:bookmarkStart w:id="254" w:name="Tc_7u-6_isVsU6wJ6FrY15QGg_18_0"/>
      <w:bookmarkStart w:id="255" w:name="Tc_aKxLsjNYU0uqFWl5skZlPQ_16_0"/>
      <w:bookmarkStart w:id="256" w:name="Tc__8hdaWKk60m5-5jPg0UR-g_14_0"/>
      <w:bookmarkStart w:id="257" w:name="Tc_Lg0XTMNaikeligPJoZeNKw_13_0"/>
      <w:bookmarkStart w:id="258" w:name="Tc_Kz5VcmbXfUuGNKD6bUlvpA_12_0"/>
      <w:bookmarkStart w:id="259" w:name="Tc_6adpfhhg40ut3SSRRtM6fw_11_0"/>
      <w:bookmarkStart w:id="260" w:name="Tc_X8cRYpkuMkaVOHB8PoFkzw_10_0"/>
      <w:bookmarkStart w:id="261" w:name="Tc_5qGZo8O37kK_6RIJIhJKBA_8_0"/>
      <w:bookmarkStart w:id="262" w:name="Tc_Pnr-XmumqECkrXjrquLH7w_7_0"/>
      <w:bookmarkStart w:id="263" w:name="Tc_INQkgMdpCUO-fUsthRZA0Q_6_2"/>
      <w:bookmarkStart w:id="264" w:name="Tc_RQm7bq_r8kuM5Nitk5Me_g_6_0"/>
      <w:bookmarkStart w:id="265" w:name="Tc_M8dtW_oJWkiLPb87RR6Khw_5_0"/>
      <w:bookmarkStart w:id="266" w:name="Tc_qYb-i1xPjUuetzmZRAiXuw_4_6"/>
      <w:bookmarkStart w:id="267" w:name="Tc_1aG4dJflyEe_IzWT1kSR-A_4_4"/>
      <w:bookmarkStart w:id="268" w:name="Tc_CBFX75HBzk-2zRsAn2bQ8g_3_6"/>
      <w:bookmarkStart w:id="269" w:name="Tc_HuwXQAUtlEOmuhjKzKGKHA_3_4"/>
      <w:bookmarkStart w:id="270" w:name="Tc_vCyivY4bYkqM8aOJ5sLX_g_3_2"/>
      <w:bookmarkStart w:id="271" w:name="Tc_TbvG_4mhNke-xBNWnhnPfQ_2_4"/>
      <w:bookmarkStart w:id="272" w:name="Tc_m-vGR8TGV0WvV6wycFJW_Q_1_4"/>
      <w:bookmarkStart w:id="273" w:name="_12b9fb82_15f0_47b2_85d4_02083a4a9621"/>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tbl>
      <w:tblPr>
        <w:tblW w:w="10205" w:type="dxa"/>
        <w:jc w:val="left"/>
        <w:tblInd w:w="0" w:type="dxa"/>
        <w:tblLayout w:type="fixed"/>
        <w:tblCellMar>
          <w:top w:w="0" w:type="dxa"/>
          <w:left w:w="0" w:type="dxa"/>
          <w:bottom w:w="0" w:type="dxa"/>
          <w:right w:w="0" w:type="dxa"/>
        </w:tblCellMar>
      </w:tblPr>
      <w:tblGrid>
        <w:gridCol w:w="6814"/>
        <w:gridCol w:w="346"/>
        <w:gridCol w:w="451"/>
        <w:gridCol w:w="346"/>
        <w:gridCol w:w="928"/>
        <w:gridCol w:w="346"/>
        <w:gridCol w:w="974"/>
      </w:tblGrid>
      <w:tr>
        <w:trPr/>
        <w:tc>
          <w:tcPr>
            <w:tcW w:w="6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86385" cy="175260"/>
                      <wp:effectExtent l="0" t="0" r="0" b="0"/>
                      <wp:wrapNone/>
                      <wp:docPr id="23" name="Frame2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9280" cy="175260"/>
                      <wp:effectExtent l="0" t="0" r="0" b="0"/>
                      <wp:wrapNone/>
                      <wp:docPr id="25" name="Frame25"/>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18490" cy="175260"/>
                      <wp:effectExtent l="0" t="0" r="0" b="0"/>
                      <wp:wrapNone/>
                      <wp:docPr id="27" name="Frame2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6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Continuing operations</w:t>
            </w:r>
          </w:p>
        </w:tc>
        <w:tc>
          <w:tcPr>
            <w:tcW w:w="346"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2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74" w:type="dxa"/>
            <w:tcBorders/>
            <w:shd w:fill="CCEEFF" w:val="clear"/>
            <w:vAlign w:val="center"/>
          </w:tcPr>
          <w:p>
            <w:pPr>
              <w:pStyle w:val="TableContents"/>
              <w:bidi w:val="0"/>
              <w:spacing w:before="0" w:after="0"/>
              <w:ind w:left="0" w:right="0" w:hanging="0"/>
              <w:jc w:val="center"/>
              <w:rPr/>
            </w:pPr>
            <w:r>
              <w:rPr/>
              <w:t>​</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33,455</w:t>
            </w:r>
          </w:p>
        </w:tc>
        <w:tc>
          <w:tcPr>
            <w:tcW w:w="3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23,949</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(7,924)</w:t>
            </w:r>
          </w:p>
        </w:tc>
        <w:tc>
          <w:tcPr>
            <w:tcW w:w="346" w:type="dxa"/>
            <w:tcBorders/>
            <w:shd w:fill="CCEEFF" w:val="clear"/>
            <w:vAlign w:val="center"/>
          </w:tcPr>
          <w:p>
            <w:pPr>
              <w:pStyle w:val="TableContents"/>
              <w:bidi w:val="0"/>
              <w:spacing w:before="0" w:after="0"/>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(6,097)</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25,531</w:t>
            </w:r>
          </w:p>
        </w:tc>
        <w:tc>
          <w:tcPr>
            <w:tcW w:w="346" w:type="dxa"/>
            <w:tcBorders/>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17,852</w:t>
            </w:r>
          </w:p>
        </w:tc>
      </w:tr>
      <w:tr>
        <w:trPr/>
        <w:tc>
          <w:tcPr>
            <w:tcW w:w="68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w:t>
            </w:r>
          </w:p>
        </w:tc>
        <w:tc>
          <w:tcPr>
            <w:tcW w:w="34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(3,102)</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w:t>
            </w:r>
          </w:p>
        </w:tc>
        <w:tc>
          <w:tcPr>
            <w:tcW w:w="3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(14,279)</w:t>
            </w:r>
          </w:p>
        </w:tc>
        <w:tc>
          <w:tcPr>
            <w:tcW w:w="346" w:type="dxa"/>
            <w:tcBorders/>
            <w:shd w:fill="CCEEFF" w:val="clear"/>
            <w:vAlign w:val="center"/>
          </w:tcPr>
          <w:p>
            <w:pPr>
              <w:pStyle w:val="TableContents"/>
              <w:bidi w:val="0"/>
              <w:spacing w:before="0" w:after="0"/>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(25,470)</w:t>
            </w:r>
          </w:p>
        </w:tc>
        <w:tc>
          <w:tcPr>
            <w:tcW w:w="346" w:type="dxa"/>
            <w:tcBorders/>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(20,009)</w:t>
            </w:r>
          </w:p>
        </w:tc>
      </w:tr>
      <w:tr>
        <w:trPr/>
        <w:tc>
          <w:tcPr>
            <w:tcW w:w="68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(2,157)</w:t>
            </w:r>
          </w:p>
        </w:tc>
      </w:tr>
      <w:tr>
        <w:trPr/>
        <w:tc>
          <w:tcPr>
            <w:tcW w:w="68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 net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34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fair value changes of digital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fair value changes of digital assets on loan from related parties denominated in digital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changes of digital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changes of digital assets on loan from related parties denominated in digital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Profit/(loss) from continuing operations before share of loss from an equity investee and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1,715</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(2,177)</w:t>
            </w:r>
          </w:p>
        </w:tc>
      </w:tr>
      <w:tr>
        <w:trPr/>
        <w:tc>
          <w:tcPr>
            <w:tcW w:w="6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income/(loss)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1,687</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(2,256)</w:t>
            </w:r>
          </w:p>
        </w:tc>
      </w:tr>
      <w:tr>
        <w:trPr/>
        <w:tc>
          <w:tcPr>
            <w:tcW w:w="6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r>
      <w:tr>
        <w:trPr/>
        <w:tc>
          <w:tcPr>
            <w:tcW w:w="681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(loss)/profit from discontinued operations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8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r>
      <w:tr>
        <w:trPr/>
        <w:tc>
          <w:tcPr>
            <w:tcW w:w="681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1,644</w:t>
            </w:r>
          </w:p>
        </w:tc>
        <w:tc>
          <w:tcPr>
            <w:tcW w:w="346" w:type="dxa"/>
            <w:tcBorders/>
            <w:vAlign w:val="center"/>
          </w:tcPr>
          <w:p>
            <w:pPr>
              <w:pStyle w:val="TableContents"/>
              <w:bidi w:val="0"/>
              <w:spacing w:before="0" w:after="0"/>
              <w:ind w:left="0" w:right="0" w:hanging="0"/>
              <w:jc w:val="left"/>
              <w:rPr/>
            </w:pPr>
            <w:r>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3"/>
        <w:gridCol w:w="9652"/>
      </w:tblGrid>
      <w:tr>
        <w:trPr/>
        <w:tc>
          <w:tcPr>
            <w:tcW w:w="5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Note:</w:t>
            </w:r>
          </w:p>
        </w:tc>
        <w:tc>
          <w:tcPr>
            <w:tcW w:w="96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Comparative figures for the six-month ended June 30, 2025 have been re-presented on a consistent basis to reflect the classification of discontinued operations.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74" w:name="_c4a2de96_5f34_40ac_8092_912c258778bc"/>
      <w:bookmarkEnd w:id="274"/>
      <w:r>
        <w:rPr>
          <w:rFonts w:ascii="Times New Roman;Times;serif" w:hAnsi="Times New Roman;Times;serif"/>
          <w:b/>
          <w:sz w:val="20"/>
        </w:rPr>
        <w:t>AMBER INTERNATIONAL HOLDING LIMITED</w:t>
      </w:r>
    </w:p>
    <w:p>
      <w:pPr>
        <w:pStyle w:val="TextBody"/>
        <w:bidi w:val="0"/>
        <w:spacing w:before="0" w:after="0"/>
        <w:ind w:left="0" w:right="0" w:hanging="0"/>
        <w:jc w:val="both"/>
        <w:rPr>
          <w:rFonts w:ascii="Times New Roman;Times;serif" w:hAnsi="Times New Roman;Times;serif"/>
          <w:b/>
          <w:sz w:val="20"/>
        </w:rPr>
      </w:pPr>
      <w:bookmarkStart w:id="275" w:name="CONDENSEDCONSOLIDATEDSTATEMENTSOFCOMPREH"/>
      <w:bookmarkEnd w:id="275"/>
      <w:r>
        <w:rPr>
          <w:rFonts w:ascii="Times New Roman;Times;serif" w:hAnsi="Times New Roman;Times;serif"/>
          <w:b/>
          <w:sz w:val="20"/>
        </w:rPr>
        <w:t>CONDENSED CONSOLIDATED STATEMENTS OF COMPREHENSIVE INCOME/(LOSS)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276" w:name="Tc_ca9LZXMkUUeS8mH4ICHOYw_34_0"/>
      <w:bookmarkStart w:id="277" w:name="Tc_OaVb4dkQu0m6SsQbKW5MYg_33_0"/>
      <w:bookmarkStart w:id="278" w:name="Tc_Rku5tMunH0-m6Qnr_aRe4w_32_0"/>
      <w:bookmarkStart w:id="279" w:name="Tc_IV1p_-1Z_Um_n1ZSZcll3g_30_0"/>
      <w:bookmarkStart w:id="280" w:name="Tc_4OnQyIw3AEWFne62fiTUiQ_29_0"/>
      <w:bookmarkStart w:id="281" w:name="Tc_sU839BqQKUaL26R8CzEO1A_28_0"/>
      <w:bookmarkStart w:id="282" w:name="Tc_6uEhzdGPVk-DkfQxJOzTBA_26_0"/>
      <w:bookmarkStart w:id="283" w:name="Tc_i7kMwn1V9Ui6yxUdNdCZKA_25_0"/>
      <w:bookmarkStart w:id="284" w:name="Tc__rSEUZhwF0qyDx1nMfRsmA_24_0"/>
      <w:bookmarkStart w:id="285" w:name="Tc_CXfpevKZY0u2TCbGqyahBA_21_6"/>
      <w:bookmarkStart w:id="286" w:name="Tc_dxoYACJBLEKfXZHXARB0YQ_21_0"/>
      <w:bookmarkStart w:id="287" w:name="Tc_N1MTc0vn50GdQJW75kuOtg_19_0"/>
      <w:bookmarkStart w:id="288" w:name="Tc_M28UKNMYmESBVcQ3ktAuQA_18_0"/>
      <w:bookmarkStart w:id="289" w:name="Tc_aCL3Xcosyk6l3DOTsfekQQ_17_0"/>
      <w:bookmarkStart w:id="290" w:name="Tc_uHd6LR7Ab0K4CqOaXsMymQ_14_6"/>
      <w:bookmarkStart w:id="291" w:name="Tc__HT3jaxjx02SgtL1GwC2hg_14_0"/>
      <w:bookmarkStart w:id="292" w:name="Tc_nd4YcZ4vKkSHR0r2v0zHcg_13_0"/>
      <w:bookmarkStart w:id="293" w:name="Tc_cJHqqe79GUG8DOjZhhavDw_12_0"/>
      <w:bookmarkStart w:id="294" w:name="Tc_kZs0SqS8u0-AaLuLc9BxkA_10_0"/>
      <w:bookmarkStart w:id="295" w:name="Tc_GuOI7QtYrUSu-2k2_p8c8w_9_0"/>
      <w:bookmarkStart w:id="296" w:name="Tc_UfQDkwB6jEWjPFR0T5k4lQ_8_0"/>
      <w:bookmarkStart w:id="297" w:name="Tc_cdadIHaQ5UyBBvJWbsebmw_7_0"/>
      <w:bookmarkStart w:id="298" w:name="Tc_qCmnKj-eY0G6dt30TLf1vQ_5_0"/>
      <w:bookmarkStart w:id="299" w:name="Tc_eiR7QnXbjUe1JSmhXofaJw_4_6"/>
      <w:bookmarkStart w:id="300" w:name="Tc_4Yu6ASlDJEuTy1NJWYrb6w_4_4"/>
      <w:bookmarkStart w:id="301" w:name="Tc_BoSFJKNrHk-ExeUu75yubw_3_6"/>
      <w:bookmarkStart w:id="302" w:name="Tc_x51lsdNM-U6faExhVFoNQA_3_4"/>
      <w:bookmarkStart w:id="303" w:name="Tc_b8I3gjnGIk-rfzUJ7NQjpw_3_2"/>
      <w:bookmarkStart w:id="304" w:name="Tc_hJseRcsvDUqoTbYjBQkHXg_2_4"/>
      <w:bookmarkStart w:id="305" w:name="Tc_jpgxMh5vtUqOwKPIbH8r0g_1_4"/>
      <w:bookmarkStart w:id="306" w:name="_cd710bae_ac5d_45d3_99d6_855695cfdea2"/>
      <w:bookmarkStart w:id="307" w:name="_dd45cebf_dcf3_414b_973f_cfd928a78387"/>
      <w:bookmarkStart w:id="308" w:name="Tc_ca9LZXMkUUeS8mH4ICHOYw_34_0"/>
      <w:bookmarkStart w:id="309" w:name="Tc_OaVb4dkQu0m6SsQbKW5MYg_33_0"/>
      <w:bookmarkStart w:id="310" w:name="Tc_Rku5tMunH0-m6Qnr_aRe4w_32_0"/>
      <w:bookmarkStart w:id="311" w:name="Tc_IV1p_-1Z_Um_n1ZSZcll3g_30_0"/>
      <w:bookmarkStart w:id="312" w:name="Tc_4OnQyIw3AEWFne62fiTUiQ_29_0"/>
      <w:bookmarkStart w:id="313" w:name="Tc_sU839BqQKUaL26R8CzEO1A_28_0"/>
      <w:bookmarkStart w:id="314" w:name="Tc_6uEhzdGPVk-DkfQxJOzTBA_26_0"/>
      <w:bookmarkStart w:id="315" w:name="Tc_i7kMwn1V9Ui6yxUdNdCZKA_25_0"/>
      <w:bookmarkStart w:id="316" w:name="Tc__rSEUZhwF0qyDx1nMfRsmA_24_0"/>
      <w:bookmarkStart w:id="317" w:name="Tc_CXfpevKZY0u2TCbGqyahBA_21_6"/>
      <w:bookmarkStart w:id="318" w:name="Tc_dxoYACJBLEKfXZHXARB0YQ_21_0"/>
      <w:bookmarkStart w:id="319" w:name="Tc_N1MTc0vn50GdQJW75kuOtg_19_0"/>
      <w:bookmarkStart w:id="320" w:name="Tc_M28UKNMYmESBVcQ3ktAuQA_18_0"/>
      <w:bookmarkStart w:id="321" w:name="Tc_aCL3Xcosyk6l3DOTsfekQQ_17_0"/>
      <w:bookmarkStart w:id="322" w:name="Tc_uHd6LR7Ab0K4CqOaXsMymQ_14_6"/>
      <w:bookmarkStart w:id="323" w:name="Tc__HT3jaxjx02SgtL1GwC2hg_14_0"/>
      <w:bookmarkStart w:id="324" w:name="Tc_nd4YcZ4vKkSHR0r2v0zHcg_13_0"/>
      <w:bookmarkStart w:id="325" w:name="Tc_cJHqqe79GUG8DOjZhhavDw_12_0"/>
      <w:bookmarkStart w:id="326" w:name="Tc_kZs0SqS8u0-AaLuLc9BxkA_10_0"/>
      <w:bookmarkStart w:id="327" w:name="Tc_GuOI7QtYrUSu-2k2_p8c8w_9_0"/>
      <w:bookmarkStart w:id="328" w:name="Tc_UfQDkwB6jEWjPFR0T5k4lQ_8_0"/>
      <w:bookmarkStart w:id="329" w:name="Tc_cdadIHaQ5UyBBvJWbsebmw_7_0"/>
      <w:bookmarkStart w:id="330" w:name="Tc_qCmnKj-eY0G6dt30TLf1vQ_5_0"/>
      <w:bookmarkStart w:id="331" w:name="Tc_eiR7QnXbjUe1JSmhXofaJw_4_6"/>
      <w:bookmarkStart w:id="332" w:name="Tc_4Yu6ASlDJEuTy1NJWYrb6w_4_4"/>
      <w:bookmarkStart w:id="333" w:name="Tc_BoSFJKNrHk-ExeUu75yubw_3_6"/>
      <w:bookmarkStart w:id="334" w:name="Tc_x51lsdNM-U6faExhVFoNQA_3_4"/>
      <w:bookmarkStart w:id="335" w:name="Tc_b8I3gjnGIk-rfzUJ7NQjpw_3_2"/>
      <w:bookmarkStart w:id="336" w:name="Tc_hJseRcsvDUqoTbYjBQkHXg_2_4"/>
      <w:bookmarkStart w:id="337" w:name="Tc_jpgxMh5vtUqOwKPIbH8r0g_1_4"/>
      <w:bookmarkStart w:id="338" w:name="_cd710bae_ac5d_45d3_99d6_855695cfdea2"/>
      <w:bookmarkStart w:id="339" w:name="_dd45cebf_dcf3_414b_973f_cfd928a7838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tbl>
      <w:tblPr>
        <w:tblW w:w="10205" w:type="dxa"/>
        <w:jc w:val="left"/>
        <w:tblInd w:w="0" w:type="dxa"/>
        <w:tblLayout w:type="fixed"/>
        <w:tblCellMar>
          <w:top w:w="0" w:type="dxa"/>
          <w:left w:w="0" w:type="dxa"/>
          <w:bottom w:w="0" w:type="dxa"/>
          <w:right w:w="0" w:type="dxa"/>
        </w:tblCellMar>
      </w:tblPr>
      <w:tblGrid>
        <w:gridCol w:w="6539"/>
        <w:gridCol w:w="346"/>
        <w:gridCol w:w="451"/>
        <w:gridCol w:w="346"/>
        <w:gridCol w:w="1036"/>
        <w:gridCol w:w="346"/>
        <w:gridCol w:w="1141"/>
      </w:tblGrid>
      <w:tr>
        <w:trPr/>
        <w:tc>
          <w:tcPr>
            <w:tcW w:w="6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152265" cy="175260"/>
                      <wp:effectExtent l="0" t="0" r="0" b="0"/>
                      <wp:wrapNone/>
                      <wp:docPr id="28" name="Frame28"/>
                      <a:graphic xmlns:a="http://schemas.openxmlformats.org/drawingml/2006/main">
                        <a:graphicData uri="http://schemas.microsoft.com/office/word/2010/wordprocessingShape">
                          <wps:wsp>
                            <wps:cNvSpPr txBox="1"/>
                            <wps:spPr>
                              <a:xfrm>
                                <a:off x="0" y="0"/>
                                <a:ext cx="415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86385" cy="175260"/>
                      <wp:effectExtent l="0" t="0" r="0" b="0"/>
                      <wp:wrapNone/>
                      <wp:docPr id="30" name="Frame3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57860" cy="175260"/>
                      <wp:effectExtent l="0" t="0" r="0" b="0"/>
                      <wp:wrapNone/>
                      <wp:docPr id="32" name="Frame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24535" cy="175260"/>
                      <wp:effectExtent l="0" t="0" r="0" b="0"/>
                      <wp:wrapNone/>
                      <wp:docPr id="34" name="Frame3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2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65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5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5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profit/(loss)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(2,234)</w:t>
            </w:r>
          </w:p>
        </w:tc>
      </w:tr>
      <w:tr>
        <w:trPr/>
        <w:tc>
          <w:tcPr>
            <w:tcW w:w="65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Item that may be reclassified subsequent to profit or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income/(loss), net of tax US$nil</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1,529</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(2,653)</w:t>
            </w:r>
          </w:p>
        </w:tc>
      </w:tr>
      <w:tr>
        <w:trPr/>
        <w:tc>
          <w:tcPr>
            <w:tcW w:w="65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income/(loss) attributable to:</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Owners of Amber International Holding Limited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(2,653)</w:t>
            </w:r>
          </w:p>
        </w:tc>
      </w:tr>
      <w:tr>
        <w:trPr/>
        <w:tc>
          <w:tcPr>
            <w:tcW w:w="65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profit/(loss) attributable to owners of Amber International Holding Limited from:</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Continuing operations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5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profit/(loss) attributable to non-controlling interest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5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r>
      <w:tr>
        <w:trPr/>
        <w:tc>
          <w:tcPr>
            <w:tcW w:w="65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profit/(loss) from continuing operations per ADS attributable to Amber International Holding Limited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0.0212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(0.0240)</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Diluted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0.0212</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(0.0240)</w:t>
            </w:r>
          </w:p>
        </w:tc>
      </w:tr>
      <w:tr>
        <w:trPr/>
        <w:tc>
          <w:tcPr>
            <w:tcW w:w="65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(loss)/profit from discontinued operations per ADS attributable to Amber International Holding Limited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0.0002</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Diluted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(0.0002)</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0.0002</w:t>
            </w:r>
          </w:p>
        </w:tc>
      </w:tr>
      <w:tr>
        <w:trPr/>
        <w:tc>
          <w:tcPr>
            <w:tcW w:w="65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ADS used in per ADS calculation:</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65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79,493,454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93,839,047</w:t>
            </w:r>
          </w:p>
        </w:tc>
      </w:tr>
      <w:tr>
        <w:trPr/>
        <w:tc>
          <w:tcPr>
            <w:tcW w:w="65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Diluted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79,496,261</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93,839,047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0"/>
        <w:gridCol w:w="9685"/>
      </w:tblGrid>
      <w:tr>
        <w:trPr/>
        <w:tc>
          <w:tcPr>
            <w:tcW w:w="5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Note:</w:t>
            </w:r>
          </w:p>
        </w:tc>
        <w:tc>
          <w:tcPr>
            <w:tcW w:w="96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Certain amounts of other comprehensive loss differ from those previously reported in the earnings release furnished as Exhibit 99.1 to the Company’s Form 6-K dated September 3, 2026 (the “Prior 6-K”), principally due to foreign currency translation differences. The amount of the error being corrected is approximately US$1,296,000, which decreased other comprehensive losses for the six-month ended June 30, 2026 as previously reported. Such differences do not affect net loss, net loss per ADS, revenue or cash flows for the six-month ended June 30, 2026. The condensed consolidated interim financial statements furnished herewith supersede the corresponding information in the Prior 6-K.</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40" w:name="_0a0f2d7e_78d7_48f3_b201_77719f025381"/>
      <w:bookmarkEnd w:id="340"/>
      <w:r>
        <w:rPr>
          <w:rFonts w:ascii="Times New Roman;Times;serif" w:hAnsi="Times New Roman;Times;serif"/>
          <w:b/>
          <w:sz w:val="20"/>
        </w:rPr>
        <w:t>AMBER INTERNATIONAL HOLDING LIMITED</w:t>
      </w:r>
    </w:p>
    <w:p>
      <w:pPr>
        <w:pStyle w:val="TextBody"/>
        <w:bidi w:val="0"/>
        <w:spacing w:before="0" w:after="0"/>
        <w:ind w:left="0" w:right="0" w:hanging="0"/>
        <w:jc w:val="both"/>
        <w:rPr>
          <w:rFonts w:ascii="Times New Roman;Times;serif" w:hAnsi="Times New Roman;Times;serif"/>
          <w:b/>
          <w:sz w:val="20"/>
        </w:rPr>
      </w:pPr>
      <w:bookmarkStart w:id="341" w:name="CONDENSEDCONSOLIDATEDSTATEMENTSOFCHANGES"/>
      <w:bookmarkEnd w:id="341"/>
      <w:r>
        <w:rPr>
          <w:rFonts w:ascii="Times New Roman;Times;serif" w:hAnsi="Times New Roman;Times;serif"/>
          <w:b/>
          <w:sz w:val="20"/>
        </w:rPr>
        <w:t>CONDENSED CONSOLIDATED STATEMENTS OF CHANGES IN SHAREHOLDERS’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342" w:name="Tc_aY7i7zlFhUOVfOJ5zza4uQ_32_14"/>
      <w:bookmarkStart w:id="343" w:name="Tc_DHMC-An6gESo3YxqYrIQRQ_32_0"/>
      <w:bookmarkStart w:id="344" w:name="Tc_wyLpDC44Vkm-uwesqkPpTg_30_14"/>
      <w:bookmarkStart w:id="345" w:name="Tc_SGKXBVmfQ0aZjN0gbRZRBg_30_10"/>
      <w:bookmarkStart w:id="346" w:name="Tc_dvrFAsWvCECzBzgaC_zbkQ_30_4"/>
      <w:bookmarkStart w:id="347" w:name="Tc_zJLpsr1m_0ulsRRTmbTpbA_30_2"/>
      <w:bookmarkStart w:id="348" w:name="Tc_RQJ8ayKgAk-MdAf01VsUzw_29_14"/>
      <w:bookmarkStart w:id="349" w:name="Tc_oYVaRQ7hX0mNDBVNQ6qf-Q_29_10"/>
      <w:bookmarkStart w:id="350" w:name="Tc_j38ua3U560WkYmpOqJVMbw_29_8"/>
      <w:bookmarkStart w:id="351" w:name="Tc_WtdPHLEWQk-KnNMwmsgMqA_29_4"/>
      <w:bookmarkStart w:id="352" w:name="Tc_Bkwc2R6BxEqyrGlTCKKjwQ_29_2"/>
      <w:bookmarkStart w:id="353" w:name="Tc__XUbjmuOBkW33qqQQUCX7Q_29_0"/>
      <w:bookmarkStart w:id="354" w:name="Tc_lwZvCTGyokOMMp2zXMfD5w_28_14"/>
      <w:bookmarkStart w:id="355" w:name="Tc_qw4jDhl3XEGBKM-8BQHKWQ_28_10"/>
      <w:bookmarkStart w:id="356" w:name="Tc_frbB0lcRek-JYuACxiYUQA_28_6"/>
      <w:bookmarkStart w:id="357" w:name="Tc_lSgESs8LAUud6AucI3cAWA_28_4"/>
      <w:bookmarkStart w:id="358" w:name="Tc_l7S0tqdBS06A8mN17tUqwg_28_2"/>
      <w:bookmarkStart w:id="359" w:name="Tc_bhbrennM8keqBBlLLR7mjw_28_0"/>
      <w:bookmarkStart w:id="360" w:name="Tc_TiHSHIF3cUau0EB5rA8mqQ_27_0"/>
      <w:bookmarkStart w:id="361" w:name="Tc_kI4uU8ONEkClxmE-bOA7Ig_25_14"/>
      <w:bookmarkStart w:id="362" w:name="Tc_Xzz9bOQiFUqa1EkDmMPs8Q_25_6"/>
      <w:bookmarkStart w:id="363" w:name="Tc_wMMQFfV0tU2XMFiSbM0A5A_25_4"/>
      <w:bookmarkStart w:id="364" w:name="Tc_vpiBuWFlAUKtUlR8sa3_1A_25_2"/>
      <w:bookmarkStart w:id="365" w:name="Tc_dE99wBtqbkK5NTz_NUgKqg_25_0"/>
      <w:bookmarkStart w:id="366" w:name="Tc_cCHC13wHtk-Zdag_rGtoaQ_24_14"/>
      <w:bookmarkStart w:id="367" w:name="Tc_Uqn0ZyoLhkq1vVMRUFXMEw_24_10"/>
      <w:bookmarkStart w:id="368" w:name="Tc_14Czpnv520iCxDy4V6qPmQ_24_6"/>
      <w:bookmarkStart w:id="369" w:name="Tc_HMD763Ef40Ct1nKrDOqgHw_24_4"/>
      <w:bookmarkStart w:id="370" w:name="Tc_ZUFZ03ysPEqHEf432JirYg_24_2"/>
      <w:bookmarkStart w:id="371" w:name="Tc_fO1dmMNx0kqNKw9m4-SrkQ_24_0"/>
      <w:bookmarkStart w:id="372" w:name="Tc_yuVYSxYzKEGUvi9IyB9L-g_23_14"/>
      <w:bookmarkStart w:id="373" w:name="Tc_N4RrMh2GAEC--DbGA1hQ6Q_23_8"/>
      <w:bookmarkStart w:id="374" w:name="Tc_ewAAXG8DW06zrcnF-J1qmA_23_6"/>
      <w:bookmarkStart w:id="375" w:name="Tc_-5GEeDYi-USlzxNtj2KpbA_23_4"/>
      <w:bookmarkStart w:id="376" w:name="Tc_5lH5fKVbaEir8nnZwFdohw_23_2"/>
      <w:bookmarkStart w:id="377" w:name="Tc_F-CHDdLjl0uXSdxuLw6l0A_23_0"/>
      <w:bookmarkStart w:id="378" w:name="Tc_YTP8wHGVkEOmrui4pQxnvw_21_14"/>
      <w:bookmarkStart w:id="379" w:name="Tc_qfOLU_RirEq222UVl2T6BA_21_0"/>
      <w:bookmarkStart w:id="380" w:name="Tc_Kncg2cMUkk-p4PKkXJ92hg_19_0"/>
      <w:bookmarkStart w:id="381" w:name="Tc_l4bTXoW9OUmQMgD1Tk0hzg_17_14"/>
      <w:bookmarkStart w:id="382" w:name="Tc_R-m2_qjA7Emb9jYSnt1PEQ_17_10"/>
      <w:bookmarkStart w:id="383" w:name="Tc_IjaMmNrfC0CndXYwfh0OBg_16_14"/>
      <w:bookmarkStart w:id="384" w:name="Tc_Mb2Szop-60ChHrOtGa-_9g_16_10"/>
      <w:bookmarkStart w:id="385" w:name="Tc_1JHv-NYO30yvtClGn2sYRg_16_6"/>
      <w:bookmarkStart w:id="386" w:name="Tc__nWD2JtdN0GZlj9ClUTcvA_16_4"/>
      <w:bookmarkStart w:id="387" w:name="Tc_ngjk-23bQE-ef_uTGlqPpg_16_2"/>
      <w:bookmarkStart w:id="388" w:name="Tc_Aw1ZpkzBmE22v3jvda5HLg_16_0"/>
      <w:bookmarkStart w:id="389" w:name="Tc_ZQ5WzV2ZoUKkwGV64eT_3w_15_14"/>
      <w:bookmarkStart w:id="390" w:name="Tc_nVtJAGg9xESFLX4ols2gIQ_15_10"/>
      <w:bookmarkStart w:id="391" w:name="Tc_WrQHwX7y0EKsJnC8eJwCzQ_15_8"/>
      <w:bookmarkStart w:id="392" w:name="Tc_nqJjfhG_rESKSwSu4T-H3g_15_0"/>
      <w:bookmarkStart w:id="393" w:name="Tc_QbybDGBcNEOlWiIGlhuSIQ_14_0"/>
      <w:bookmarkStart w:id="394" w:name="Tc_z5uWP--5JUyR8tI4a3re-w_12_14"/>
      <w:bookmarkStart w:id="395" w:name="Tc_RV3L74n_LEOoJM_x_FTL5g_12_10"/>
      <w:bookmarkStart w:id="396" w:name="Tc_iqRD9I-75UKrOaGEuNuOIg_12_6"/>
      <w:bookmarkStart w:id="397" w:name="Tc_DofPgi7zQ0WlwbhSluqjDA_12_4"/>
      <w:bookmarkStart w:id="398" w:name="Tc_px_oXXKKFU6ZYGIGOldxrw_12_2"/>
      <w:bookmarkStart w:id="399" w:name="Tc_iMAWiGeQtU6spyt_bBQQXQ_12_0"/>
      <w:bookmarkStart w:id="400" w:name="Tc_5pSt6gKFaEuw6RhoSbVVqQ_10_6"/>
      <w:bookmarkStart w:id="401" w:name="Tc_fL08mplyn0ivjzGgO6zQrg_10_4"/>
      <w:bookmarkStart w:id="402" w:name="Tc_r6DIzdjbKkeoqg3qjxOtvg_10_2"/>
      <w:bookmarkStart w:id="403" w:name="Tc_ID1KjFKTY0Kod6GXXmcd_g_10_0"/>
      <w:bookmarkStart w:id="404" w:name="Tc_FQPWdXR91Uqqd3GT-hCiPA_9_10"/>
      <w:bookmarkStart w:id="405" w:name="Tc_fPY1x27T50-S47sdlBY7Kw_9_6"/>
      <w:bookmarkStart w:id="406" w:name="Tc_IvewGXcMwUOCCa0t6t0rJw_9_4"/>
      <w:bookmarkStart w:id="407" w:name="Tc_kFK-4ubi_Uusdt4CiqZiVg_9_2"/>
      <w:bookmarkStart w:id="408" w:name="Tc_I0e_RzE52USdh_NDPJxZng_9_0"/>
      <w:bookmarkStart w:id="409" w:name="Tc_yfjCuzX46UCVxzecoDgjeA_8_8"/>
      <w:bookmarkStart w:id="410" w:name="Tc_dc5xKKjiBk65IROF4kOLuQ_8_6"/>
      <w:bookmarkStart w:id="411" w:name="Tc_CE5KLJrULUilb2j1msd3lQ_8_4"/>
      <w:bookmarkStart w:id="412" w:name="Tc_wmTxrW_KuEqQW9jKw9bAYg_8_2"/>
      <w:bookmarkStart w:id="413" w:name="Tc_hvoHAFzjOkeSxtit_TJZuQ_8_0"/>
      <w:bookmarkStart w:id="414" w:name="Tc_yzYlBWsXKEGxxSfwbRHMdw_6_14"/>
      <w:bookmarkStart w:id="415" w:name="Tc_6TYrCMlc8Uq7V4qpihPsMQ_6_6"/>
      <w:bookmarkStart w:id="416" w:name="Tc_OwpQFRZSC02-gwexnNezlw_6_0"/>
      <w:bookmarkStart w:id="417" w:name="Tc_oJyGoa3ylk61u4Nod-vxbA_5_16"/>
      <w:bookmarkStart w:id="418" w:name="Tc_N5uIa97-dkOQ2KBzNnOGFQ_5_14"/>
      <w:bookmarkStart w:id="419" w:name="Tc_3WqojG0cF0Kpc8ipzIIPgA_5_12"/>
      <w:bookmarkStart w:id="420" w:name="Tc_pGn7cdWPnEut12TpI3E2Mw_5_10"/>
      <w:bookmarkStart w:id="421" w:name="Tc_cjftnd0dL0ygPCRzDxMe7A_5_8"/>
      <w:bookmarkStart w:id="422" w:name="Tc_euh_R90oDUOzH9fbLgmJYw_5_6"/>
      <w:bookmarkStart w:id="423" w:name="Tc_a-VQ8h4uW0O6uDPC26DM2g_5_4"/>
      <w:bookmarkStart w:id="424" w:name="Tc_RdqPj1d2_UCym1i1cy-0_Q_5_2"/>
      <w:bookmarkStart w:id="425" w:name="Tc_TTdY19Jdf06i1XQLvVF1UQ_4_16"/>
      <w:bookmarkStart w:id="426" w:name="Tc_yViwOBG88EegK7sahIXkqg_4_14"/>
      <w:bookmarkStart w:id="427" w:name="Tc_I0YB3ctNekGoZ31a-I007w_4_12"/>
      <w:bookmarkStart w:id="428" w:name="Tc_u6Rf724deU2A2ZJcMgdgOQ_4_10"/>
      <w:bookmarkStart w:id="429" w:name="Tc_zbI4VHt0vUWf4u5wGPI67Q_4_6"/>
      <w:bookmarkStart w:id="430" w:name="Tc_OfxFB_kpDUaPlvomUM1a1g_4_4"/>
      <w:bookmarkStart w:id="431" w:name="Tc_-EqurB_FfkKN3BIN0L0V1w_4_2"/>
      <w:bookmarkStart w:id="432" w:name="Tc_d1E2YjCQuk6xNCPgU_Tpuw_3_14"/>
      <w:bookmarkStart w:id="433" w:name="Tc_2xl9a0__s0KCDtsLebes1A_3_12"/>
      <w:bookmarkStart w:id="434" w:name="Tc_ob3N6_VIUE69DWT8t5mp_A_2_12"/>
      <w:bookmarkStart w:id="435" w:name="Tc_PxCgl2yjDE6ZHE7PKl6U9A_1_12"/>
      <w:bookmarkStart w:id="436" w:name="_07ba93ec_3172_4758_a51b_be507a97ecfb"/>
      <w:bookmarkStart w:id="437" w:name="Tc_aY7i7zlFhUOVfOJ5zza4uQ_32_14"/>
      <w:bookmarkStart w:id="438" w:name="Tc_DHMC-An6gESo3YxqYrIQRQ_32_0"/>
      <w:bookmarkStart w:id="439" w:name="Tc_wyLpDC44Vkm-uwesqkPpTg_30_14"/>
      <w:bookmarkStart w:id="440" w:name="Tc_SGKXBVmfQ0aZjN0gbRZRBg_30_10"/>
      <w:bookmarkStart w:id="441" w:name="Tc_dvrFAsWvCECzBzgaC_zbkQ_30_4"/>
      <w:bookmarkStart w:id="442" w:name="Tc_zJLpsr1m_0ulsRRTmbTpbA_30_2"/>
      <w:bookmarkStart w:id="443" w:name="Tc_RQJ8ayKgAk-MdAf01VsUzw_29_14"/>
      <w:bookmarkStart w:id="444" w:name="Tc_oYVaRQ7hX0mNDBVNQ6qf-Q_29_10"/>
      <w:bookmarkStart w:id="445" w:name="Tc_j38ua3U560WkYmpOqJVMbw_29_8"/>
      <w:bookmarkStart w:id="446" w:name="Tc_WtdPHLEWQk-KnNMwmsgMqA_29_4"/>
      <w:bookmarkStart w:id="447" w:name="Tc_Bkwc2R6BxEqyrGlTCKKjwQ_29_2"/>
      <w:bookmarkStart w:id="448" w:name="Tc__XUbjmuOBkW33qqQQUCX7Q_29_0"/>
      <w:bookmarkStart w:id="449" w:name="Tc_lwZvCTGyokOMMp2zXMfD5w_28_14"/>
      <w:bookmarkStart w:id="450" w:name="Tc_qw4jDhl3XEGBKM-8BQHKWQ_28_10"/>
      <w:bookmarkStart w:id="451" w:name="Tc_frbB0lcRek-JYuACxiYUQA_28_6"/>
      <w:bookmarkStart w:id="452" w:name="Tc_lSgESs8LAUud6AucI3cAWA_28_4"/>
      <w:bookmarkStart w:id="453" w:name="Tc_l7S0tqdBS06A8mN17tUqwg_28_2"/>
      <w:bookmarkStart w:id="454" w:name="Tc_bhbrennM8keqBBlLLR7mjw_28_0"/>
      <w:bookmarkStart w:id="455" w:name="Tc_TiHSHIF3cUau0EB5rA8mqQ_27_0"/>
      <w:bookmarkStart w:id="456" w:name="Tc_kI4uU8ONEkClxmE-bOA7Ig_25_14"/>
      <w:bookmarkStart w:id="457" w:name="Tc_Xzz9bOQiFUqa1EkDmMPs8Q_25_6"/>
      <w:bookmarkStart w:id="458" w:name="Tc_wMMQFfV0tU2XMFiSbM0A5A_25_4"/>
      <w:bookmarkStart w:id="459" w:name="Tc_vpiBuWFlAUKtUlR8sa3_1A_25_2"/>
      <w:bookmarkStart w:id="460" w:name="Tc_dE99wBtqbkK5NTz_NUgKqg_25_0"/>
      <w:bookmarkStart w:id="461" w:name="Tc_cCHC13wHtk-Zdag_rGtoaQ_24_14"/>
      <w:bookmarkStart w:id="462" w:name="Tc_Uqn0ZyoLhkq1vVMRUFXMEw_24_10"/>
      <w:bookmarkStart w:id="463" w:name="Tc_14Czpnv520iCxDy4V6qPmQ_24_6"/>
      <w:bookmarkStart w:id="464" w:name="Tc_HMD763Ef40Ct1nKrDOqgHw_24_4"/>
      <w:bookmarkStart w:id="465" w:name="Tc_ZUFZ03ysPEqHEf432JirYg_24_2"/>
      <w:bookmarkStart w:id="466" w:name="Tc_fO1dmMNx0kqNKw9m4-SrkQ_24_0"/>
      <w:bookmarkStart w:id="467" w:name="Tc_yuVYSxYzKEGUvi9IyB9L-g_23_14"/>
      <w:bookmarkStart w:id="468" w:name="Tc_N4RrMh2GAEC--DbGA1hQ6Q_23_8"/>
      <w:bookmarkStart w:id="469" w:name="Tc_ewAAXG8DW06zrcnF-J1qmA_23_6"/>
      <w:bookmarkStart w:id="470" w:name="Tc_-5GEeDYi-USlzxNtj2KpbA_23_4"/>
      <w:bookmarkStart w:id="471" w:name="Tc_5lH5fKVbaEir8nnZwFdohw_23_2"/>
      <w:bookmarkStart w:id="472" w:name="Tc_F-CHDdLjl0uXSdxuLw6l0A_23_0"/>
      <w:bookmarkStart w:id="473" w:name="Tc_YTP8wHGVkEOmrui4pQxnvw_21_14"/>
      <w:bookmarkStart w:id="474" w:name="Tc_qfOLU_RirEq222UVl2T6BA_21_0"/>
      <w:bookmarkStart w:id="475" w:name="Tc_Kncg2cMUkk-p4PKkXJ92hg_19_0"/>
      <w:bookmarkStart w:id="476" w:name="Tc_l4bTXoW9OUmQMgD1Tk0hzg_17_14"/>
      <w:bookmarkStart w:id="477" w:name="Tc_R-m2_qjA7Emb9jYSnt1PEQ_17_10"/>
      <w:bookmarkStart w:id="478" w:name="Tc_IjaMmNrfC0CndXYwfh0OBg_16_14"/>
      <w:bookmarkStart w:id="479" w:name="Tc_Mb2Szop-60ChHrOtGa-_9g_16_10"/>
      <w:bookmarkStart w:id="480" w:name="Tc_1JHv-NYO30yvtClGn2sYRg_16_6"/>
      <w:bookmarkStart w:id="481" w:name="Tc__nWD2JtdN0GZlj9ClUTcvA_16_4"/>
      <w:bookmarkStart w:id="482" w:name="Tc_ngjk-23bQE-ef_uTGlqPpg_16_2"/>
      <w:bookmarkStart w:id="483" w:name="Tc_Aw1ZpkzBmE22v3jvda5HLg_16_0"/>
      <w:bookmarkStart w:id="484" w:name="Tc_ZQ5WzV2ZoUKkwGV64eT_3w_15_14"/>
      <w:bookmarkStart w:id="485" w:name="Tc_nVtJAGg9xESFLX4ols2gIQ_15_10"/>
      <w:bookmarkStart w:id="486" w:name="Tc_WrQHwX7y0EKsJnC8eJwCzQ_15_8"/>
      <w:bookmarkStart w:id="487" w:name="Tc_nqJjfhG_rESKSwSu4T-H3g_15_0"/>
      <w:bookmarkStart w:id="488" w:name="Tc_QbybDGBcNEOlWiIGlhuSIQ_14_0"/>
      <w:bookmarkStart w:id="489" w:name="Tc_z5uWP--5JUyR8tI4a3re-w_12_14"/>
      <w:bookmarkStart w:id="490" w:name="Tc_RV3L74n_LEOoJM_x_FTL5g_12_10"/>
      <w:bookmarkStart w:id="491" w:name="Tc_iqRD9I-75UKrOaGEuNuOIg_12_6"/>
      <w:bookmarkStart w:id="492" w:name="Tc_DofPgi7zQ0WlwbhSluqjDA_12_4"/>
      <w:bookmarkStart w:id="493" w:name="Tc_px_oXXKKFU6ZYGIGOldxrw_12_2"/>
      <w:bookmarkStart w:id="494" w:name="Tc_iMAWiGeQtU6spyt_bBQQXQ_12_0"/>
      <w:bookmarkStart w:id="495" w:name="Tc_5pSt6gKFaEuw6RhoSbVVqQ_10_6"/>
      <w:bookmarkStart w:id="496" w:name="Tc_fL08mplyn0ivjzGgO6zQrg_10_4"/>
      <w:bookmarkStart w:id="497" w:name="Tc_r6DIzdjbKkeoqg3qjxOtvg_10_2"/>
      <w:bookmarkStart w:id="498" w:name="Tc_ID1KjFKTY0Kod6GXXmcd_g_10_0"/>
      <w:bookmarkStart w:id="499" w:name="Tc_FQPWdXR91Uqqd3GT-hCiPA_9_10"/>
      <w:bookmarkStart w:id="500" w:name="Tc_fPY1x27T50-S47sdlBY7Kw_9_6"/>
      <w:bookmarkStart w:id="501" w:name="Tc_IvewGXcMwUOCCa0t6t0rJw_9_4"/>
      <w:bookmarkStart w:id="502" w:name="Tc_kFK-4ubi_Uusdt4CiqZiVg_9_2"/>
      <w:bookmarkStart w:id="503" w:name="Tc_I0e_RzE52USdh_NDPJxZng_9_0"/>
      <w:bookmarkStart w:id="504" w:name="Tc_yfjCuzX46UCVxzecoDgjeA_8_8"/>
      <w:bookmarkStart w:id="505" w:name="Tc_dc5xKKjiBk65IROF4kOLuQ_8_6"/>
      <w:bookmarkStart w:id="506" w:name="Tc_CE5KLJrULUilb2j1msd3lQ_8_4"/>
      <w:bookmarkStart w:id="507" w:name="Tc_wmTxrW_KuEqQW9jKw9bAYg_8_2"/>
      <w:bookmarkStart w:id="508" w:name="Tc_hvoHAFzjOkeSxtit_TJZuQ_8_0"/>
      <w:bookmarkStart w:id="509" w:name="Tc_yzYlBWsXKEGxxSfwbRHMdw_6_14"/>
      <w:bookmarkStart w:id="510" w:name="Tc_6TYrCMlc8Uq7V4qpihPsMQ_6_6"/>
      <w:bookmarkStart w:id="511" w:name="Tc_OwpQFRZSC02-gwexnNezlw_6_0"/>
      <w:bookmarkStart w:id="512" w:name="Tc_oJyGoa3ylk61u4Nod-vxbA_5_16"/>
      <w:bookmarkStart w:id="513" w:name="Tc_N5uIa97-dkOQ2KBzNnOGFQ_5_14"/>
      <w:bookmarkStart w:id="514" w:name="Tc_3WqojG0cF0Kpc8ipzIIPgA_5_12"/>
      <w:bookmarkStart w:id="515" w:name="Tc_pGn7cdWPnEut12TpI3E2Mw_5_10"/>
      <w:bookmarkStart w:id="516" w:name="Tc_cjftnd0dL0ygPCRzDxMe7A_5_8"/>
      <w:bookmarkStart w:id="517" w:name="Tc_euh_R90oDUOzH9fbLgmJYw_5_6"/>
      <w:bookmarkStart w:id="518" w:name="Tc_a-VQ8h4uW0O6uDPC26DM2g_5_4"/>
      <w:bookmarkStart w:id="519" w:name="Tc_RdqPj1d2_UCym1i1cy-0_Q_5_2"/>
      <w:bookmarkStart w:id="520" w:name="Tc_TTdY19Jdf06i1XQLvVF1UQ_4_16"/>
      <w:bookmarkStart w:id="521" w:name="Tc_yViwOBG88EegK7sahIXkqg_4_14"/>
      <w:bookmarkStart w:id="522" w:name="Tc_I0YB3ctNekGoZ31a-I007w_4_12"/>
      <w:bookmarkStart w:id="523" w:name="Tc_u6Rf724deU2A2ZJcMgdgOQ_4_10"/>
      <w:bookmarkStart w:id="524" w:name="Tc_zbI4VHt0vUWf4u5wGPI67Q_4_6"/>
      <w:bookmarkStart w:id="525" w:name="Tc_OfxFB_kpDUaPlvomUM1a1g_4_4"/>
      <w:bookmarkStart w:id="526" w:name="Tc_-EqurB_FfkKN3BIN0L0V1w_4_2"/>
      <w:bookmarkStart w:id="527" w:name="Tc_d1E2YjCQuk6xNCPgU_Tpuw_3_14"/>
      <w:bookmarkStart w:id="528" w:name="Tc_2xl9a0__s0KCDtsLebes1A_3_12"/>
      <w:bookmarkStart w:id="529" w:name="Tc_ob3N6_VIUE69DWT8t5mp_A_2_12"/>
      <w:bookmarkStart w:id="530" w:name="Tc_PxCgl2yjDE6ZHE7PKl6U9A_1_12"/>
      <w:bookmarkStart w:id="531" w:name="_07ba93ec_3172_4758_a51b_be507a97ecfb"/>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tbl>
      <w:tblPr>
        <w:tblW w:w="10922" w:type="dxa"/>
        <w:jc w:val="left"/>
        <w:tblInd w:w="0" w:type="dxa"/>
        <w:tblLayout w:type="fixed"/>
        <w:tblCellMar>
          <w:top w:w="0" w:type="dxa"/>
          <w:left w:w="0" w:type="dxa"/>
          <w:bottom w:w="0" w:type="dxa"/>
          <w:right w:w="0" w:type="dxa"/>
        </w:tblCellMar>
      </w:tblPr>
      <w:tblGrid>
        <w:gridCol w:w="1396"/>
        <w:gridCol w:w="346"/>
        <w:gridCol w:w="601"/>
        <w:gridCol w:w="346"/>
        <w:gridCol w:w="751"/>
        <w:gridCol w:w="346"/>
        <w:gridCol w:w="766"/>
        <w:gridCol w:w="346"/>
        <w:gridCol w:w="736"/>
        <w:gridCol w:w="346"/>
        <w:gridCol w:w="1051"/>
        <w:gridCol w:w="346"/>
        <w:gridCol w:w="1066"/>
        <w:gridCol w:w="346"/>
        <w:gridCol w:w="901"/>
        <w:gridCol w:w="346"/>
        <w:gridCol w:w="88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886460" cy="175260"/>
                      <wp:effectExtent l="0" t="0" r="0" b="0"/>
                      <wp:wrapNone/>
                      <wp:docPr id="35" name="Frame35"/>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81635" cy="175260"/>
                      <wp:effectExtent l="0" t="0" r="0" b="0"/>
                      <wp:wrapNone/>
                      <wp:docPr id="37" name="Frame3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76885" cy="175260"/>
                      <wp:effectExtent l="0" t="0" r="0" b="0"/>
                      <wp:wrapNone/>
                      <wp:docPr id="39" name="Frame3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86410" cy="175260"/>
                      <wp:effectExtent l="0" t="0" r="0" b="0"/>
                      <wp:wrapNone/>
                      <wp:docPr id="41" name="Frame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7360" cy="175260"/>
                      <wp:effectExtent l="0" t="0" r="0" b="0"/>
                      <wp:wrapNone/>
                      <wp:docPr id="43" name="Frame4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7385" cy="175260"/>
                      <wp:effectExtent l="0" t="0" r="0" b="0"/>
                      <wp:wrapNone/>
                      <wp:docPr id="45" name="Frame4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76910" cy="175260"/>
                      <wp:effectExtent l="0" t="0" r="0" b="0"/>
                      <wp:wrapNone/>
                      <wp:docPr id="47" name="Frame4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72135" cy="175260"/>
                      <wp:effectExtent l="0" t="0" r="0" b="0"/>
                      <wp:wrapNone/>
                      <wp:docPr id="49" name="Frame4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62610" cy="175260"/>
                      <wp:effectExtent l="0" t="0" r="0" b="0"/>
                      <wp:wrapNone/>
                      <wp:docPr id="51" name="Frame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Amber</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January 1, 2025</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13,499</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53,175</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(36,890)</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29,785</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29,785</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 for the period</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w:t>
            </w:r>
          </w:p>
        </w:tc>
      </w:tr>
      <w:tr>
        <w:trPr/>
        <w:tc>
          <w:tcPr>
            <w:tcW w:w="13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(loss)/income</w:t>
            </w:r>
          </w:p>
        </w:tc>
        <w:tc>
          <w:tcPr>
            <w:tcW w:w="34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loss/(income) for the period</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Waiver of related party balances</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Transaction with owners in their capacity as owners:</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ordinary shares upon consummation of merger, net of issuance cost (Note (i))</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59,548</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59,923</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59,923</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59,548</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59,931</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59,931</w:t>
            </w:r>
          </w:p>
        </w:tc>
      </w:tr>
      <w:tr>
        <w:trPr/>
        <w:tc>
          <w:tcPr>
            <w:tcW w:w="13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2025 (unaudited)</w:t>
            </w:r>
          </w:p>
        </w:tc>
        <w:tc>
          <w:tcPr>
            <w:tcW w:w="346" w:type="dxa"/>
            <w:tcBorders/>
            <w:vAlign w:val="center"/>
          </w:tcPr>
          <w:p>
            <w:pPr>
              <w:pStyle w:val="TableContents"/>
              <w:bidi w:val="0"/>
              <w:spacing w:before="0" w:after="1"/>
              <w:ind w:left="0" w:right="0" w:hanging="0"/>
              <w:jc w:val="left"/>
              <w:rPr/>
            </w:pPr>
            <w:r>
              <w:rPr/>
              <w:t> </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408</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73,047</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53,094</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(35,218)</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91,299</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91,295</w:t>
            </w:r>
          </w:p>
        </w:tc>
      </w:tr>
      <w:tr>
        <w:trPr/>
        <w:tc>
          <w:tcPr>
            <w:tcW w:w="13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January 1, 2026</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424</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90,540</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(903)</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53,390</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(33,139)</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110,312</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110,312</w:t>
            </w:r>
          </w:p>
        </w:tc>
      </w:tr>
      <w:tr>
        <w:trPr/>
        <w:tc>
          <w:tcPr>
            <w:tcW w:w="13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for the period</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139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loss for the period</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(2,653)</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(2,653)</w:t>
            </w:r>
          </w:p>
        </w:tc>
      </w:tr>
      <w:tr>
        <w:trPr/>
        <w:tc>
          <w:tcPr>
            <w:tcW w:w="13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Transaction with owners in their capacity as owners:</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3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ordinary shares (Note (ii))</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r>
      <w:tr>
        <w:trPr/>
        <w:tc>
          <w:tcPr>
            <w:tcW w:w="13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(4,877)</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(4,838)</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(4,838)</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2026 (unaudited)</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424</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90,540</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(5,780)</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53,010</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(35,373)</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102,821</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102,821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99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Comparative figures for the six-month ended June 30, 2025 have been restated to reflect the finalization of the provisional accounting for the reverse acquisition of iClick Interactive Asia Group Limited completed in March 2025. The amount recognized for the issuance of ordinary shares upon consummation of the merger, net of issuance costs, has been adjusted accordingly.</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On November 26, 2025, board of directors of the Company approved and authorized to repurchase up to US$50 million of ADSs over a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commencing December 1, 2025. As of June 30, 2026, the Company had repurchased a total of 2,636,910 ADSs under this program for an aggregate consideration of approximately US$5.8 million</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532" w:name="_29414026_5cf4_4854_9ecd_246f0fe0c3ea"/>
      <w:bookmarkEnd w:id="532"/>
      <w:r>
        <w:rPr>
          <w:rFonts w:ascii="Times New Roman;Times;serif" w:hAnsi="Times New Roman;Times;serif"/>
          <w:b/>
          <w:sz w:val="20"/>
        </w:rPr>
        <w:t>AMBER INTERNATIONAL HOLDING LIMITED</w:t>
      </w:r>
    </w:p>
    <w:p>
      <w:pPr>
        <w:pStyle w:val="TextBody"/>
        <w:bidi w:val="0"/>
        <w:spacing w:before="0" w:after="0"/>
        <w:ind w:left="0" w:right="0" w:hanging="0"/>
        <w:jc w:val="both"/>
        <w:rPr>
          <w:rFonts w:ascii="Times New Roman;Times;serif" w:hAnsi="Times New Roman;Times;serif"/>
          <w:b/>
          <w:sz w:val="20"/>
        </w:rPr>
      </w:pPr>
      <w:bookmarkStart w:id="533" w:name="CONDENSEDCONSOLIDATEDSTATEMENTSOFCASHFLO"/>
      <w:bookmarkEnd w:id="533"/>
      <w:r>
        <w:rPr>
          <w:rFonts w:ascii="Times New Roman;Times;serif" w:hAnsi="Times New Roman;Times;serif"/>
          <w:b/>
          <w:sz w:val="20"/>
        </w:rPr>
        <w:t>CONDENSED CONSOLIDATED STATEMENTS OF CASH FLOWS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534" w:name="Tc_KDVBXZAZwkeUuC12Q9i3dw_49_0"/>
      <w:bookmarkStart w:id="535" w:name="Tc_N2I9Q0KP80-YE0QuICQnCQ_48_6"/>
      <w:bookmarkStart w:id="536" w:name="Tc_F0hPCAh2_Ey-GVUIMAH3zA_48_0"/>
      <w:bookmarkStart w:id="537" w:name="Tc_68IXJo5IdUCwKjfaAIhy_A_47_0"/>
      <w:bookmarkStart w:id="538" w:name="Tc_MhTbnkhpJkCKykLRuRxNiA_46_0"/>
      <w:bookmarkStart w:id="539" w:name="Tc_mH7eCmpOzEOYNnEJuR7a0Q_45_4"/>
      <w:bookmarkStart w:id="540" w:name="Tc_NzqZ2rLWvUS0dr33lnZvAw_45_0"/>
      <w:bookmarkStart w:id="541" w:name="Tc_2nokk4nPuEKADrGGHGhZ_A_44_0"/>
      <w:bookmarkStart w:id="542" w:name="Tc_OKRgoB7V60yJ7doz1-4o3g_43_0"/>
      <w:bookmarkStart w:id="543" w:name="Tc_oyzkGKEpSUqRtW9nRihyvQ_42_4"/>
      <w:bookmarkStart w:id="544" w:name="Tc_a8zbUwNm00W4uDHRBrGRpQ_42_0"/>
      <w:bookmarkStart w:id="545" w:name="Tc_3cGuxJwDzUuFzkA7n7k6oA_41_6"/>
      <w:bookmarkStart w:id="546" w:name="Tc_uxEjnpxKUkGkIkKnMsrqeA_41_0"/>
      <w:bookmarkStart w:id="547" w:name="Tc_f7hM9AmJCUeqdzJBUCDDrQ_40_0"/>
      <w:bookmarkStart w:id="548" w:name="Tc_KC4kc_oFXkmJxtYuDIf5Ng_38_0"/>
      <w:bookmarkStart w:id="549" w:name="Tc_zUXiXTBJhUmmVQugnUcTWg_37_6"/>
      <w:bookmarkStart w:id="550" w:name="Tc_E7c4XbZ8oUGfBq6RnffQpQ_37_0"/>
      <w:bookmarkStart w:id="551" w:name="Tc_bfiqc2h1LUmmMOM6B4kkcQ_36_0"/>
      <w:bookmarkStart w:id="552" w:name="Tc_gOiiFh6VO0y5rN-OXUwv4w_35_0"/>
      <w:bookmarkStart w:id="553" w:name="Tc_kpkUaYI2MUCohgrfkq0unA_34_0"/>
      <w:bookmarkStart w:id="554" w:name="Tc_Ar1E3aBdH0yz1lmgi19YFA_33_4"/>
      <w:bookmarkStart w:id="555" w:name="Tc_nVy2FEceAUCM-krXoVITpw_33_0"/>
      <w:bookmarkStart w:id="556" w:name="Tc_KQZDUMViXkWjFBuV--sMmg_32_0"/>
      <w:bookmarkStart w:id="557" w:name="Tc_NBuM5M-WOUaXwyksab7YDQ_31_0"/>
      <w:bookmarkStart w:id="558" w:name="Tc_stXczOSrxU2w6V_VlsV0sg_30_0"/>
      <w:bookmarkStart w:id="559" w:name="Tc_lp0wuguAKUqoEq90Rn1Pog_29_0"/>
      <w:bookmarkStart w:id="560" w:name="Tc_CdhUxXjZcUWw5klFlnXAog_27_0"/>
      <w:bookmarkStart w:id="561" w:name="Tc_ORaIz81Fi0ivl33pLaAVgw_26_0"/>
      <w:bookmarkStart w:id="562" w:name="Tc_nZ40lXjXJkauub7HbPi5PA_25_0"/>
      <w:bookmarkStart w:id="563" w:name="Tc_1dRVeXtumkG5YduiThv6xQ_24_0"/>
      <w:bookmarkStart w:id="564" w:name="Tc_HmZJ0Fev0EyIghWK68fBVA_23_4"/>
      <w:bookmarkStart w:id="565" w:name="Tc_O56_1sA040eKaViCYtZvuQ_23_2"/>
      <w:bookmarkStart w:id="566" w:name="Tc_mn0AdddcZkKHTCnHs6be4w_23_0"/>
      <w:bookmarkStart w:id="567" w:name="Tc_vRaXCSY7_EeJgeVpNqCNgA_22_0"/>
      <w:bookmarkStart w:id="568" w:name="Tc_3pB3ciHq6k-6c_Z1NWM7TA_21_4"/>
      <w:bookmarkStart w:id="569" w:name="Tc_AzbKPbrsMkO33MALqXe1kA_21_0"/>
      <w:bookmarkStart w:id="570" w:name="Tc_z-SjmTUEUEyXhgGxOlOTjw_20_6"/>
      <w:bookmarkStart w:id="571" w:name="Tc_xZXY_MsV2UWJGB4tE5kbeA_20_2"/>
      <w:bookmarkStart w:id="572" w:name="Tc_pWgJssFOXUeMVAOu-yrsKw_20_0"/>
      <w:bookmarkStart w:id="573" w:name="Tc_Q-tEHS_p0Ey87KRDtbzaEA_19_6"/>
      <w:bookmarkStart w:id="574" w:name="Tc_5elQYrW3-kKsyDszt1BqYA_19_0"/>
      <w:bookmarkStart w:id="575" w:name="Tc_t_OyqAsVmUCs21qkRu60LQ_18_4"/>
      <w:bookmarkStart w:id="576" w:name="Tc_slgTf-9ht06NOBLzpfCopw_18_0"/>
      <w:bookmarkStart w:id="577" w:name="Tc_GJ6djKumWkqudFrE9m8VAA_17_0"/>
      <w:bookmarkStart w:id="578" w:name="Tc_WeyY0ky3skOCMeHmj1_3wQ_16_2"/>
      <w:bookmarkStart w:id="579" w:name="Tc_-qeZUK7eg0GV3KdtT4BezQ_16_0"/>
      <w:bookmarkStart w:id="580" w:name="Tc_J14jyVuUMk6jVV5KhBs-CA_15_0"/>
      <w:bookmarkStart w:id="581" w:name="Tc_tfD6vBDGu0GXMmnl86NlwQ_14_0"/>
      <w:bookmarkStart w:id="582" w:name="Tc_OTu7-9Eh_kSQSqfnJFJmNA_13_2"/>
      <w:bookmarkStart w:id="583" w:name="Tc_yuSYWPvKSkOJWi1z9WyMqQ_13_0"/>
      <w:bookmarkStart w:id="584" w:name="Tc_6HoPxa3GbkSDpvtrE1Mqpg_12_2"/>
      <w:bookmarkStart w:id="585" w:name="Tc_JFwTKO5zsEys1d3TA_XwkA_12_0"/>
      <w:bookmarkStart w:id="586" w:name="Tc_Psz-rvjqSE-ADUJ6jYSNyg_11_2"/>
      <w:bookmarkStart w:id="587" w:name="Tc_k_uUq4OHHEOrU4pEadPt1A_11_0"/>
      <w:bookmarkStart w:id="588" w:name="Tc_SVNNtVpRGE-xEzteA3tBMw_10_0"/>
      <w:bookmarkStart w:id="589" w:name="Tc_8oDsTVk6fk2UnJ2L5jVJXA_8_0"/>
      <w:bookmarkStart w:id="590" w:name="Tc_eqeuIdNDbUyICzLHyoP1cA_7_0"/>
      <w:bookmarkStart w:id="591" w:name="Tc_3guupO5MZkOgmcb5eAAsrQ_6_0"/>
      <w:bookmarkStart w:id="592" w:name="Tc_NzyP3pHoIUSKHnbuNwy0Jg_5_0"/>
      <w:bookmarkStart w:id="593" w:name="Tc_05jglcsBlkONTjThc5scuw_4_6"/>
      <w:bookmarkStart w:id="594" w:name="Tc_6hi2PBfcq0is2S26vHvmvA_4_4"/>
      <w:bookmarkStart w:id="595" w:name="Tc_JdxFuklC3UWaw_-PCz80dg_3_6"/>
      <w:bookmarkStart w:id="596" w:name="Tc__7kcFHGT_USXuYA16FqfIg_3_4"/>
      <w:bookmarkStart w:id="597" w:name="Tc_HAh-slTM4kS9C0udtpNbYA_3_2"/>
      <w:bookmarkStart w:id="598" w:name="Tc_Fb4l1afQVUuy7CufJVj6CQ_2_4"/>
      <w:bookmarkStart w:id="599" w:name="Tc_B9bCIoWxfUmrVyvxD6Kh_w_1_4"/>
      <w:bookmarkStart w:id="600" w:name="_fe1dc2c4_0302_480e_9fa2_64fd11b6e153"/>
      <w:bookmarkStart w:id="601" w:name="Tc_KDVBXZAZwkeUuC12Q9i3dw_49_0"/>
      <w:bookmarkStart w:id="602" w:name="Tc_N2I9Q0KP80-YE0QuICQnCQ_48_6"/>
      <w:bookmarkStart w:id="603" w:name="Tc_F0hPCAh2_Ey-GVUIMAH3zA_48_0"/>
      <w:bookmarkStart w:id="604" w:name="Tc_68IXJo5IdUCwKjfaAIhy_A_47_0"/>
      <w:bookmarkStart w:id="605" w:name="Tc_MhTbnkhpJkCKykLRuRxNiA_46_0"/>
      <w:bookmarkStart w:id="606" w:name="Tc_mH7eCmpOzEOYNnEJuR7a0Q_45_4"/>
      <w:bookmarkStart w:id="607" w:name="Tc_NzqZ2rLWvUS0dr33lnZvAw_45_0"/>
      <w:bookmarkStart w:id="608" w:name="Tc_2nokk4nPuEKADrGGHGhZ_A_44_0"/>
      <w:bookmarkStart w:id="609" w:name="Tc_OKRgoB7V60yJ7doz1-4o3g_43_0"/>
      <w:bookmarkStart w:id="610" w:name="Tc_oyzkGKEpSUqRtW9nRihyvQ_42_4"/>
      <w:bookmarkStart w:id="611" w:name="Tc_a8zbUwNm00W4uDHRBrGRpQ_42_0"/>
      <w:bookmarkStart w:id="612" w:name="Tc_3cGuxJwDzUuFzkA7n7k6oA_41_6"/>
      <w:bookmarkStart w:id="613" w:name="Tc_uxEjnpxKUkGkIkKnMsrqeA_41_0"/>
      <w:bookmarkStart w:id="614" w:name="Tc_f7hM9AmJCUeqdzJBUCDDrQ_40_0"/>
      <w:bookmarkStart w:id="615" w:name="Tc_KC4kc_oFXkmJxtYuDIf5Ng_38_0"/>
      <w:bookmarkStart w:id="616" w:name="Tc_zUXiXTBJhUmmVQugnUcTWg_37_6"/>
      <w:bookmarkStart w:id="617" w:name="Tc_E7c4XbZ8oUGfBq6RnffQpQ_37_0"/>
      <w:bookmarkStart w:id="618" w:name="Tc_bfiqc2h1LUmmMOM6B4kkcQ_36_0"/>
      <w:bookmarkStart w:id="619" w:name="Tc_gOiiFh6VO0y5rN-OXUwv4w_35_0"/>
      <w:bookmarkStart w:id="620" w:name="Tc_kpkUaYI2MUCohgrfkq0unA_34_0"/>
      <w:bookmarkStart w:id="621" w:name="Tc_Ar1E3aBdH0yz1lmgi19YFA_33_4"/>
      <w:bookmarkStart w:id="622" w:name="Tc_nVy2FEceAUCM-krXoVITpw_33_0"/>
      <w:bookmarkStart w:id="623" w:name="Tc_KQZDUMViXkWjFBuV--sMmg_32_0"/>
      <w:bookmarkStart w:id="624" w:name="Tc_NBuM5M-WOUaXwyksab7YDQ_31_0"/>
      <w:bookmarkStart w:id="625" w:name="Tc_stXczOSrxU2w6V_VlsV0sg_30_0"/>
      <w:bookmarkStart w:id="626" w:name="Tc_lp0wuguAKUqoEq90Rn1Pog_29_0"/>
      <w:bookmarkStart w:id="627" w:name="Tc_CdhUxXjZcUWw5klFlnXAog_27_0"/>
      <w:bookmarkStart w:id="628" w:name="Tc_ORaIz81Fi0ivl33pLaAVgw_26_0"/>
      <w:bookmarkStart w:id="629" w:name="Tc_nZ40lXjXJkauub7HbPi5PA_25_0"/>
      <w:bookmarkStart w:id="630" w:name="Tc_1dRVeXtumkG5YduiThv6xQ_24_0"/>
      <w:bookmarkStart w:id="631" w:name="Tc_HmZJ0Fev0EyIghWK68fBVA_23_4"/>
      <w:bookmarkStart w:id="632" w:name="Tc_O56_1sA040eKaViCYtZvuQ_23_2"/>
      <w:bookmarkStart w:id="633" w:name="Tc_mn0AdddcZkKHTCnHs6be4w_23_0"/>
      <w:bookmarkStart w:id="634" w:name="Tc_vRaXCSY7_EeJgeVpNqCNgA_22_0"/>
      <w:bookmarkStart w:id="635" w:name="Tc_3pB3ciHq6k-6c_Z1NWM7TA_21_4"/>
      <w:bookmarkStart w:id="636" w:name="Tc_AzbKPbrsMkO33MALqXe1kA_21_0"/>
      <w:bookmarkStart w:id="637" w:name="Tc_z-SjmTUEUEyXhgGxOlOTjw_20_6"/>
      <w:bookmarkStart w:id="638" w:name="Tc_xZXY_MsV2UWJGB4tE5kbeA_20_2"/>
      <w:bookmarkStart w:id="639" w:name="Tc_pWgJssFOXUeMVAOu-yrsKw_20_0"/>
      <w:bookmarkStart w:id="640" w:name="Tc_Q-tEHS_p0Ey87KRDtbzaEA_19_6"/>
      <w:bookmarkStart w:id="641" w:name="Tc_5elQYrW3-kKsyDszt1BqYA_19_0"/>
      <w:bookmarkStart w:id="642" w:name="Tc_t_OyqAsVmUCs21qkRu60LQ_18_4"/>
      <w:bookmarkStart w:id="643" w:name="Tc_slgTf-9ht06NOBLzpfCopw_18_0"/>
      <w:bookmarkStart w:id="644" w:name="Tc_GJ6djKumWkqudFrE9m8VAA_17_0"/>
      <w:bookmarkStart w:id="645" w:name="Tc_WeyY0ky3skOCMeHmj1_3wQ_16_2"/>
      <w:bookmarkStart w:id="646" w:name="Tc_-qeZUK7eg0GV3KdtT4BezQ_16_0"/>
      <w:bookmarkStart w:id="647" w:name="Tc_J14jyVuUMk6jVV5KhBs-CA_15_0"/>
      <w:bookmarkStart w:id="648" w:name="Tc_tfD6vBDGu0GXMmnl86NlwQ_14_0"/>
      <w:bookmarkStart w:id="649" w:name="Tc_OTu7-9Eh_kSQSqfnJFJmNA_13_2"/>
      <w:bookmarkStart w:id="650" w:name="Tc_yuSYWPvKSkOJWi1z9WyMqQ_13_0"/>
      <w:bookmarkStart w:id="651" w:name="Tc_6HoPxa3GbkSDpvtrE1Mqpg_12_2"/>
      <w:bookmarkStart w:id="652" w:name="Tc_JFwTKO5zsEys1d3TA_XwkA_12_0"/>
      <w:bookmarkStart w:id="653" w:name="Tc_Psz-rvjqSE-ADUJ6jYSNyg_11_2"/>
      <w:bookmarkStart w:id="654" w:name="Tc_k_uUq4OHHEOrU4pEadPt1A_11_0"/>
      <w:bookmarkStart w:id="655" w:name="Tc_SVNNtVpRGE-xEzteA3tBMw_10_0"/>
      <w:bookmarkStart w:id="656" w:name="Tc_8oDsTVk6fk2UnJ2L5jVJXA_8_0"/>
      <w:bookmarkStart w:id="657" w:name="Tc_eqeuIdNDbUyICzLHyoP1cA_7_0"/>
      <w:bookmarkStart w:id="658" w:name="Tc_3guupO5MZkOgmcb5eAAsrQ_6_0"/>
      <w:bookmarkStart w:id="659" w:name="Tc_NzyP3pHoIUSKHnbuNwy0Jg_5_0"/>
      <w:bookmarkStart w:id="660" w:name="Tc_05jglcsBlkONTjThc5scuw_4_6"/>
      <w:bookmarkStart w:id="661" w:name="Tc_6hi2PBfcq0is2S26vHvmvA_4_4"/>
      <w:bookmarkStart w:id="662" w:name="Tc_JdxFuklC3UWaw_-PCz80dg_3_6"/>
      <w:bookmarkStart w:id="663" w:name="Tc__7kcFHGT_USXuYA16FqfIg_3_4"/>
      <w:bookmarkStart w:id="664" w:name="Tc_HAh-slTM4kS9C0udtpNbYA_3_2"/>
      <w:bookmarkStart w:id="665" w:name="Tc_Fb4l1afQVUuy7CufJVj6CQ_2_4"/>
      <w:bookmarkStart w:id="666" w:name="Tc_B9bCIoWxfUmrVyvxD6Kh_w_1_4"/>
      <w:bookmarkStart w:id="667" w:name="_fe1dc2c4_0302_480e_9fa2_64fd11b6e153"/>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tbl>
      <w:tblPr>
        <w:tblW w:w="10205" w:type="dxa"/>
        <w:jc w:val="left"/>
        <w:tblInd w:w="0" w:type="dxa"/>
        <w:tblLayout w:type="fixed"/>
        <w:tblCellMar>
          <w:top w:w="0" w:type="dxa"/>
          <w:left w:w="0" w:type="dxa"/>
          <w:bottom w:w="0" w:type="dxa"/>
          <w:right w:w="0" w:type="dxa"/>
        </w:tblCellMar>
      </w:tblPr>
      <w:tblGrid>
        <w:gridCol w:w="6794"/>
        <w:gridCol w:w="346"/>
        <w:gridCol w:w="451"/>
        <w:gridCol w:w="346"/>
        <w:gridCol w:w="938"/>
        <w:gridCol w:w="346"/>
        <w:gridCol w:w="984"/>
      </w:tblGrid>
      <w:tr>
        <w:trPr/>
        <w:tc>
          <w:tcPr>
            <w:tcW w:w="67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86385" cy="175260"/>
                      <wp:effectExtent l="0" t="0" r="0" b="0"/>
                      <wp:wrapNone/>
                      <wp:docPr id="53" name="Frame5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95630" cy="175260"/>
                      <wp:effectExtent l="0" t="0" r="0" b="0"/>
                      <wp:wrapNone/>
                      <wp:docPr id="55" name="Frame55"/>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24840" cy="175260"/>
                      <wp:effectExtent l="0" t="0" r="0" b="0"/>
                      <wp:wrapNone/>
                      <wp:docPr id="57" name="Frame5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67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7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7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left"/>
              <w:rPr/>
            </w:pPr>
            <w:r>
              <w:rPr/>
              <w:t>  ​</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Profit/(loss) before income tax from:</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7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left"/>
              <w:rPr/>
            </w:pPr>
            <w:r>
              <w:rPr/>
              <w:t>​</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for:</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for/(reversal of) credit losses on accounts receivable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 on financial asset at fair value through profits or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fair value changes on digital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fair value changes on amount due to related parties denominated in digital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 on derivative contract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changes on digital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changes on amount due to related parties denominated in digital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 off of other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received or settled in digital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w:t>
            </w:r>
          </w:p>
        </w:tc>
        <w:tc>
          <w:tcPr>
            <w:tcW w:w="34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before working capital changes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w:t>
            </w:r>
          </w:p>
        </w:tc>
      </w:tr>
      <w:tr>
        <w:trPr/>
        <w:tc>
          <w:tcPr>
            <w:tcW w:w="67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working capital:</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receivables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(4,588)</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Crypto assets </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8,956</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with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(4,256)</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in)/generated from operating activities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in)/generated from operating activities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(4,097)</w:t>
            </w:r>
          </w:p>
        </w:tc>
        <w:tc>
          <w:tcPr>
            <w:tcW w:w="34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67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left"/>
              <w:rPr/>
            </w:pPr>
            <w:r>
              <w:rPr/>
              <w:t>​</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acquired from business combination</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18,249</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financial assets at fair value through profits or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 of financial assets at fair value through profits or loss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 of crypto assets held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w:t>
            </w:r>
          </w:p>
        </w:tc>
        <w:tc>
          <w:tcPr>
            <w:tcW w:w="3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received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679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to related parties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w:t>
            </w:r>
          </w:p>
        </w:tc>
        <w:tc>
          <w:tcPr>
            <w:tcW w:w="346" w:type="dxa"/>
            <w:tcBorders/>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79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17,919</w:t>
            </w:r>
          </w:p>
        </w:tc>
        <w:tc>
          <w:tcPr>
            <w:tcW w:w="346" w:type="dxa"/>
            <w:tcBorders/>
            <w:shd w:fill="CCEEFF" w:val="cle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5,058</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both"/>
        <w:rPr>
          <w:rFonts w:ascii="Times New Roman;Times;serif" w:hAnsi="Times New Roman;Times;serif"/>
          <w:b/>
          <w:sz w:val="20"/>
        </w:rPr>
      </w:pPr>
      <w:bookmarkStart w:id="668" w:name="STATEMENTSOFCASHFLOWSCONTINUED_416653"/>
      <w:bookmarkEnd w:id="668"/>
      <w:r>
        <w:rPr>
          <w:rFonts w:ascii="Times New Roman;Times;serif" w:hAnsi="Times New Roman;Times;serif"/>
          <w:b/>
          <w:sz w:val="20"/>
        </w:rPr>
        <w:t>CONDENSED CONSOLIDATED STATEMENTS OF CASH FLOWS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669" w:name="Tc_OXtAM4e-uUW5g9_O25y1kA_16_2"/>
      <w:bookmarkStart w:id="670" w:name="Tc_5oKj2bGIAUWyWVBfRWXANg_16_0"/>
      <w:bookmarkStart w:id="671" w:name="Tc_GnjgFysl1UqNYNKEOUCKEQ_15_0"/>
      <w:bookmarkStart w:id="672" w:name="Tc_HwQxztoTP0WE-zovlJfBnw_14_0"/>
      <w:bookmarkStart w:id="673" w:name="Tc_caGpRdlQLkO86gwQeQMSwA_13_0"/>
      <w:bookmarkStart w:id="674" w:name="Tc_JD-J0Y9ooUyLdLSPl4pY2Q_11_0"/>
      <w:bookmarkStart w:id="675" w:name="Tc_fjGl2M90kUi-NfUNmo7esQ_10_4"/>
      <w:bookmarkStart w:id="676" w:name="Tc_-aa0hWyivEm--kWSNLTLlA_10_0"/>
      <w:bookmarkStart w:id="677" w:name="Tc_PNFQL1JDFEi6R38pRD2JJA_9_0"/>
      <w:bookmarkStart w:id="678" w:name="Tc_y7h6ytzBuE-P8d4G1LPWoQ_8_0"/>
      <w:bookmarkStart w:id="679" w:name="Tc_MZkjNgjTPUiGQ4fMBJgAiA_7_6"/>
      <w:bookmarkStart w:id="680" w:name="Tc_doEoXwBa1keUWk0gYQDlOw_7_0"/>
      <w:bookmarkStart w:id="681" w:name="Tc_U2QJ5E1e30aJmY0m8XcVPw_6_6"/>
      <w:bookmarkStart w:id="682" w:name="Tc_VFDiFmIow0KM-9PNmeJUpQ_6_0"/>
      <w:bookmarkStart w:id="683" w:name="Tc_fw6gMV1f1kaXqrwDX0HVOw_5_0"/>
      <w:bookmarkStart w:id="684" w:name="Tc_CrFoykiW80-vKO4pmmlm7g_4_6"/>
      <w:bookmarkStart w:id="685" w:name="Tc_GdKy18duQkq4pymCHpgV9A_4_4"/>
      <w:bookmarkStart w:id="686" w:name="Tc_O2sykXSXBkic24BvykTCPw_3_6"/>
      <w:bookmarkStart w:id="687" w:name="Tc_0yIG4wi7lkaAlFZtXp5o1g_3_4"/>
      <w:bookmarkStart w:id="688" w:name="Tc_TrptQLHZskaE8EYnFK6e4A_3_2"/>
      <w:bookmarkStart w:id="689" w:name="Tc_G-O6NBPyTEipGu--CMsvCQ_2_4"/>
      <w:bookmarkStart w:id="690" w:name="Tc_rrTsBzkmGEOtpwLbVFfU_A_1_4"/>
      <w:bookmarkStart w:id="691" w:name="_6c2b5355_dd19_4e96_a00e_4a6ee9b353aa"/>
      <w:bookmarkStart w:id="692" w:name="Tc_OXtAM4e-uUW5g9_O25y1kA_16_2"/>
      <w:bookmarkStart w:id="693" w:name="Tc_5oKj2bGIAUWyWVBfRWXANg_16_0"/>
      <w:bookmarkStart w:id="694" w:name="Tc_GnjgFysl1UqNYNKEOUCKEQ_15_0"/>
      <w:bookmarkStart w:id="695" w:name="Tc_HwQxztoTP0WE-zovlJfBnw_14_0"/>
      <w:bookmarkStart w:id="696" w:name="Tc_caGpRdlQLkO86gwQeQMSwA_13_0"/>
      <w:bookmarkStart w:id="697" w:name="Tc_JD-J0Y9ooUyLdLSPl4pY2Q_11_0"/>
      <w:bookmarkStart w:id="698" w:name="Tc_fjGl2M90kUi-NfUNmo7esQ_10_4"/>
      <w:bookmarkStart w:id="699" w:name="Tc_-aa0hWyivEm--kWSNLTLlA_10_0"/>
      <w:bookmarkStart w:id="700" w:name="Tc_PNFQL1JDFEi6R38pRD2JJA_9_0"/>
      <w:bookmarkStart w:id="701" w:name="Tc_y7h6ytzBuE-P8d4G1LPWoQ_8_0"/>
      <w:bookmarkStart w:id="702" w:name="Tc_MZkjNgjTPUiGQ4fMBJgAiA_7_6"/>
      <w:bookmarkStart w:id="703" w:name="Tc_doEoXwBa1keUWk0gYQDlOw_7_0"/>
      <w:bookmarkStart w:id="704" w:name="Tc_U2QJ5E1e30aJmY0m8XcVPw_6_6"/>
      <w:bookmarkStart w:id="705" w:name="Tc_VFDiFmIow0KM-9PNmeJUpQ_6_0"/>
      <w:bookmarkStart w:id="706" w:name="Tc_fw6gMV1f1kaXqrwDX0HVOw_5_0"/>
      <w:bookmarkStart w:id="707" w:name="Tc_CrFoykiW80-vKO4pmmlm7g_4_6"/>
      <w:bookmarkStart w:id="708" w:name="Tc_GdKy18duQkq4pymCHpgV9A_4_4"/>
      <w:bookmarkStart w:id="709" w:name="Tc_O2sykXSXBkic24BvykTCPw_3_6"/>
      <w:bookmarkStart w:id="710" w:name="Tc_0yIG4wi7lkaAlFZtXp5o1g_3_4"/>
      <w:bookmarkStart w:id="711" w:name="Tc_TrptQLHZskaE8EYnFK6e4A_3_2"/>
      <w:bookmarkStart w:id="712" w:name="Tc_G-O6NBPyTEipGu--CMsvCQ_2_4"/>
      <w:bookmarkStart w:id="713" w:name="Tc_rrTsBzkmGEOtpwLbVFfU_A_1_4"/>
      <w:bookmarkStart w:id="714" w:name="_6c2b5355_dd19_4e96_a00e_4a6ee9b353aa"/>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tbl>
      <w:tblPr>
        <w:tblW w:w="8557" w:type="dxa"/>
        <w:jc w:val="left"/>
        <w:tblInd w:w="0" w:type="dxa"/>
        <w:tblLayout w:type="fixed"/>
        <w:tblCellMar>
          <w:top w:w="0" w:type="dxa"/>
          <w:left w:w="0" w:type="dxa"/>
          <w:bottom w:w="0" w:type="dxa"/>
          <w:right w:w="0" w:type="dxa"/>
        </w:tblCellMar>
      </w:tblPr>
      <w:tblGrid>
        <w:gridCol w:w="5131"/>
        <w:gridCol w:w="346"/>
        <w:gridCol w:w="451"/>
        <w:gridCol w:w="346"/>
        <w:gridCol w:w="946"/>
        <w:gridCol w:w="346"/>
        <w:gridCol w:w="991"/>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258185" cy="175260"/>
                      <wp:effectExtent l="0" t="0" r="0" b="0"/>
                      <wp:wrapNone/>
                      <wp:docPr id="58" name="Frame58"/>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6385" cy="175260"/>
                      <wp:effectExtent l="0" t="0" r="0" b="0"/>
                      <wp:wrapNone/>
                      <wp:docPr id="60" name="Frame6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00710" cy="175260"/>
                      <wp:effectExtent l="0" t="0" r="0" b="0"/>
                      <wp:wrapNone/>
                      <wp:docPr id="62" name="Frame6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29285" cy="175260"/>
                      <wp:effectExtent l="0" t="0" r="0" b="0"/>
                      <wp:wrapNone/>
                      <wp:docPr id="64" name="Frame6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bank borrowings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bank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from/(repayment to) related parties, net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principal and interest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(5,422)</w: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the beginning of period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9,326</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29,895</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the end of period</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25,827</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30,186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715" w:name="Organizationandprincipalactivities_99060"/>
      <w:bookmarkEnd w:id="715"/>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Amber International Holding Limited (the “Company” or “Amber International”) is a Cayman Islands holding company with no operations of its own and conducts its business through its subsidiaries and its controlled structured entity (“Variable interest entity”, or “VIE”). Amber International, its subsidiaries and its VIE are collectively referred to as the Group.</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Amber International was incorporated under the law of Cayman Islands as a limited company on February 3, 2010. The Group is principally engaged in the provision of digital assets platform, and provision of agentic services and solutions. The Company’s principal operations and geographic market are in Singapore and Hong Kong.</w:t>
      </w:r>
    </w:p>
    <w:p>
      <w:pPr>
        <w:pStyle w:val="TextBody"/>
        <w:bidi w:val="0"/>
        <w:spacing w:before="0" w:after="240"/>
        <w:ind w:left="720" w:right="0" w:hanging="0"/>
        <w:jc w:val="both"/>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preparation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These condensed consolidated interim financial statements for the six-month ended June 30, 2026 have been prepared in accordance with International Accounting standard (“IAS”) 34, “Interim Financial Reporting” as issued by the IASB. The interim report does not include all of the notes normally included in the annual consolidated financial statements prepared in accordance with International Financial Reporting Standards (“IFRS”) Accounting Standards as issued by the International Accounting Standards Board (“IASB”). Accordingly, this report should be read in conjunction with the annual consolidated financial statements for the year ended December 31, 2025. The accounting policies adopted are consistent with those of the previous financial year and corresponding interim reporting period, except for the adoption of new and amended IFRS as set out below.</w:t>
      </w:r>
    </w:p>
    <w:tbl>
      <w:tblPr>
        <w:tblW w:w="5526" w:type="dxa"/>
        <w:jc w:val="left"/>
        <w:tblInd w:w="0" w:type="dxa"/>
        <w:tblLayout w:type="fixed"/>
        <w:tblCellMar>
          <w:top w:w="28" w:type="dxa"/>
          <w:left w:w="28" w:type="dxa"/>
          <w:bottom w:w="28" w:type="dxa"/>
          <w:right w:w="28" w:type="dxa"/>
        </w:tblCellMar>
      </w:tblPr>
      <w:tblGrid>
        <w:gridCol w:w="124"/>
        <w:gridCol w:w="31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standards and annual improvements adopted</w:t>
            </w:r>
          </w:p>
        </w:tc>
      </w:tr>
    </w:tbl>
    <w:tbl>
      <w:tblPr>
        <w:tblW w:w="9888" w:type="dxa"/>
        <w:jc w:val="left"/>
        <w:tblInd w:w="0" w:type="dxa"/>
        <w:tblLayout w:type="fixed"/>
        <w:tblCellMar>
          <w:top w:w="0" w:type="dxa"/>
          <w:left w:w="0" w:type="dxa"/>
          <w:bottom w:w="0" w:type="dxa"/>
          <w:right w:w="0" w:type="dxa"/>
        </w:tblCellMar>
      </w:tblPr>
      <w:tblGrid>
        <w:gridCol w:w="3556"/>
        <w:gridCol w:w="346"/>
        <w:gridCol w:w="5986"/>
      </w:tblGrid>
      <w:tr>
        <w:trPr/>
        <w:tc>
          <w:tcPr>
            <w:tcW w:w="355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IFRS 9 and IFRS 7        </w:t>
            </w:r>
          </w:p>
        </w:tc>
        <w:tc>
          <w:tcPr>
            <w:tcW w:w="346" w:type="dxa"/>
            <w:tcBorders/>
            <w:shd w:fill="CCEEFF" w:val="clear"/>
            <w:vAlign w:val="center"/>
          </w:tcPr>
          <w:p>
            <w:pPr>
              <w:pStyle w:val="TableContents"/>
              <w:bidi w:val="0"/>
              <w:spacing w:lineRule="auto" w:line="328" w:before="0" w:after="0"/>
              <w:ind w:left="0" w:right="0" w:hanging="0"/>
              <w:jc w:val="left"/>
              <w:rPr/>
            </w:pPr>
            <w:r>
              <w:rPr/>
              <w:t>  ​ ​ ​</w:t>
            </w:r>
          </w:p>
        </w:tc>
        <w:tc>
          <w:tcPr>
            <w:tcW w:w="598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Classification and Measurement of Financial Instruments and Contracts </w:t>
              <w:br/>
              <w:t>Referencing Nature-dependent Electricity (amendments)</w:t>
            </w:r>
          </w:p>
        </w:tc>
      </w:tr>
      <w:tr>
        <w:trPr/>
        <w:tc>
          <w:tcPr>
            <w:tcW w:w="355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IFRS 1, IFRS 7, IFRS 9, IFRS 10 and IAS 7</w:t>
            </w:r>
          </w:p>
        </w:tc>
        <w:tc>
          <w:tcPr>
            <w:tcW w:w="346" w:type="dxa"/>
            <w:tcBorders/>
            <w:vAlign w:val="center"/>
          </w:tcPr>
          <w:p>
            <w:pPr>
              <w:pStyle w:val="TableContents"/>
              <w:bidi w:val="0"/>
              <w:spacing w:lineRule="auto" w:line="328" w:before="0" w:after="0"/>
              <w:ind w:left="0" w:right="0" w:hanging="0"/>
              <w:jc w:val="left"/>
              <w:rPr/>
            </w:pPr>
            <w:r>
              <w:rPr/>
              <w:t>​</w:t>
            </w:r>
          </w:p>
        </w:tc>
        <w:tc>
          <w:tcPr>
            <w:tcW w:w="598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Annual Improvements to IFRS Accounting Standards — Volume 11</w:t>
            </w:r>
          </w:p>
        </w:tc>
      </w:tr>
    </w:tbl>
    <w:p>
      <w:pPr>
        <w:pStyle w:val="TextBody"/>
        <w:bidi w:val="0"/>
        <w:spacing w:before="0" w:after="0"/>
        <w:ind w:left="72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adoption of the amendments to standards and annual improvements does not have material impact on the condensed consolidated interim financial statements of the Group.</w:t>
      </w:r>
    </w:p>
    <w:tbl>
      <w:tblPr>
        <w:tblW w:w="6771" w:type="dxa"/>
        <w:jc w:val="left"/>
        <w:tblInd w:w="0" w:type="dxa"/>
        <w:tblLayout w:type="fixed"/>
        <w:tblCellMar>
          <w:top w:w="28" w:type="dxa"/>
          <w:left w:w="28" w:type="dxa"/>
          <w:bottom w:w="28" w:type="dxa"/>
          <w:right w:w="28" w:type="dxa"/>
        </w:tblCellMar>
      </w:tblPr>
      <w:tblGrid>
        <w:gridCol w:w="124"/>
        <w:gridCol w:w="331"/>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standards and amendments to standards issued that are not yet effective</w:t>
            </w:r>
          </w:p>
        </w:tc>
      </w:tr>
    </w:tbl>
    <w:tbl>
      <w:tblPr>
        <w:tblW w:w="9905" w:type="dxa"/>
        <w:jc w:val="left"/>
        <w:tblInd w:w="0" w:type="dxa"/>
        <w:tblLayout w:type="fixed"/>
        <w:tblCellMar>
          <w:top w:w="0" w:type="dxa"/>
          <w:left w:w="0" w:type="dxa"/>
          <w:bottom w:w="0" w:type="dxa"/>
          <w:right w:w="0" w:type="dxa"/>
        </w:tblCellMar>
      </w:tblPr>
      <w:tblGrid>
        <w:gridCol w:w="1726"/>
        <w:gridCol w:w="346"/>
        <w:gridCol w:w="5911"/>
        <w:gridCol w:w="346"/>
        <w:gridCol w:w="1576"/>
      </w:tblGrid>
      <w:tr>
        <w:trPr/>
        <w:tc>
          <w:tcPr>
            <w:tcW w:w="172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5911"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16"/>
              </w:rPr>
            </w:pPr>
            <w:r>
              <w:rPr>
                <w:rFonts w:ascii="Times New Roman;Times;serif" w:hAnsi="Times New Roman;Times;serif"/>
                <w:b/>
                <w:sz w:val="16"/>
              </w:rPr>
              <w:t>Effective for </w:t>
              <w:br/>
              <w:t>annual periods </w:t>
              <w:br/>
              <w:t>beginning on or</w:t>
              <w:br/>
            </w:r>
            <w:r>
              <w:rPr>
                <w:rFonts w:ascii="Times New Roman;Times;serif" w:hAnsi="Times New Roman;Times;serif"/>
                <w:sz w:val="16"/>
              </w:rPr>
              <w:t> </w:t>
            </w:r>
            <w:r>
              <w:rPr>
                <w:rFonts w:ascii="Times New Roman;Times;serif" w:hAnsi="Times New Roman;Times;serif"/>
                <w:b/>
                <w:sz w:val="16"/>
              </w:rPr>
              <w:t>after</w:t>
            </w:r>
          </w:p>
        </w:tc>
      </w:tr>
      <w:tr>
        <w:trPr/>
        <w:tc>
          <w:tcPr>
            <w:tcW w:w="172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IFRS 18</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5911"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Presentation and Disclosure in Financial Statements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57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January 1, 2027</w:t>
            </w:r>
          </w:p>
        </w:tc>
      </w:tr>
      <w:tr>
        <w:trPr/>
        <w:tc>
          <w:tcPr>
            <w:tcW w:w="172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IFRS 19</w:t>
            </w:r>
          </w:p>
        </w:tc>
        <w:tc>
          <w:tcPr>
            <w:tcW w:w="346" w:type="dxa"/>
            <w:tcBorders/>
            <w:vAlign w:val="center"/>
          </w:tcPr>
          <w:p>
            <w:pPr>
              <w:pStyle w:val="TableContents"/>
              <w:bidi w:val="0"/>
              <w:spacing w:lineRule="auto" w:line="328" w:before="0" w:after="0"/>
              <w:ind w:left="0" w:right="0" w:hanging="0"/>
              <w:jc w:val="left"/>
              <w:rPr/>
            </w:pPr>
            <w:r>
              <w:rPr/>
              <w:t>​</w:t>
            </w:r>
          </w:p>
        </w:tc>
        <w:tc>
          <w:tcPr>
            <w:tcW w:w="59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Subsidiaries without Public Accountability: Disclosures</w:t>
            </w:r>
          </w:p>
        </w:tc>
        <w:tc>
          <w:tcPr>
            <w:tcW w:w="346" w:type="dxa"/>
            <w:tcBorders/>
            <w:vAlign w:val="center"/>
          </w:tcPr>
          <w:p>
            <w:pPr>
              <w:pStyle w:val="TableContents"/>
              <w:bidi w:val="0"/>
              <w:spacing w:lineRule="auto" w:line="328" w:before="0" w:after="0"/>
              <w:ind w:left="0" w:right="0" w:hanging="0"/>
              <w:jc w:val="left"/>
              <w:rPr/>
            </w:pPr>
            <w:r>
              <w:rPr/>
              <w:t>​</w:t>
            </w:r>
          </w:p>
        </w:tc>
        <w:tc>
          <w:tcPr>
            <w:tcW w:w="157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January 1, 2027</w:t>
            </w:r>
          </w:p>
        </w:tc>
      </w:tr>
      <w:tr>
        <w:trPr/>
        <w:tc>
          <w:tcPr>
            <w:tcW w:w="172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IAS 21</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5911"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Translation to a Hyperinflationary Presentation Currency (amendments)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57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January 1, 2027</w:t>
            </w:r>
          </w:p>
        </w:tc>
      </w:tr>
      <w:tr>
        <w:trPr/>
        <w:tc>
          <w:tcPr>
            <w:tcW w:w="172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IFRS 20</w:t>
            </w:r>
          </w:p>
        </w:tc>
        <w:tc>
          <w:tcPr>
            <w:tcW w:w="346" w:type="dxa"/>
            <w:tcBorders/>
            <w:vAlign w:val="center"/>
          </w:tcPr>
          <w:p>
            <w:pPr>
              <w:pStyle w:val="TableContents"/>
              <w:bidi w:val="0"/>
              <w:spacing w:lineRule="auto" w:line="328" w:before="0" w:after="0"/>
              <w:ind w:left="0" w:right="0" w:hanging="0"/>
              <w:jc w:val="left"/>
              <w:rPr/>
            </w:pPr>
            <w:r>
              <w:rPr/>
              <w:t>​</w:t>
            </w:r>
          </w:p>
        </w:tc>
        <w:tc>
          <w:tcPr>
            <w:tcW w:w="59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Regulatory Assets and Regulatory Liabilities</w:t>
            </w:r>
          </w:p>
        </w:tc>
        <w:tc>
          <w:tcPr>
            <w:tcW w:w="346" w:type="dxa"/>
            <w:tcBorders/>
            <w:vAlign w:val="center"/>
          </w:tcPr>
          <w:p>
            <w:pPr>
              <w:pStyle w:val="TableContents"/>
              <w:bidi w:val="0"/>
              <w:spacing w:lineRule="auto" w:line="328" w:before="0" w:after="0"/>
              <w:ind w:left="0" w:right="0" w:hanging="0"/>
              <w:jc w:val="left"/>
              <w:rPr/>
            </w:pPr>
            <w:r>
              <w:rPr/>
              <w:t>​</w:t>
            </w:r>
          </w:p>
        </w:tc>
        <w:tc>
          <w:tcPr>
            <w:tcW w:w="157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January 1, 2029</w:t>
            </w:r>
          </w:p>
        </w:tc>
      </w:tr>
      <w:tr>
        <w:trPr/>
        <w:tc>
          <w:tcPr>
            <w:tcW w:w="172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IFRS 10 and IAS 28</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5911"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Sale or Contribution of Assets between an Investor and its Associate or </w:t>
              <w:br/>
              <w:t>Joint Venture (amendments)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57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To be determined</w:t>
            </w:r>
          </w:p>
        </w:tc>
      </w:tr>
    </w:tbl>
    <w:p>
      <w:pPr>
        <w:pStyle w:val="TextBody"/>
        <w:bidi w:val="0"/>
        <w:spacing w:before="0" w:after="0"/>
        <w:ind w:left="72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Group is in the process of making an assessment of the impact of these new standards and amendments to standards upon initial application. The adoption of IFRS 18 will not affect the recognition or measurement of items in the condensed consolidated interim financial statements. It mainly has impacts on presentation and disclosure of income and expenses and adds new disclosure requirements on management—defined performance measures. Except for IFRS 18, none of these is expected to have significant impact on the Group in the current or future reporting periods and on foreseeable future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Estimates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preparation of the condensed consolidated interim financial statements requires management to make judgements, estimates and assumptions that affect the application of accounting policies and the reported amounts of assets and liabilities, income and expense. Actual results may differ from these estimates.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preparing these condensed consolidated interim financial statements, the significant judgements made by management in applying the Group’s accounting policies and the key sources of estimation uncertainty were the same as those that applied to the consolidated financial statements for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Financial risk management and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Financial risk factors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activities expose it to a variety of financial risks: market risk (including foreign exchange risk, digital asset price risk, risks associated with the storage and protection of digital assets and investment risk related to trading of digital assets), credit risk and liquidity risk.</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condensed consolidated interim financial statements do not include all financial risk management information and disclosures required in the annual financial statements, and should be read in conjunction with the Group’s annual consolidated financial statements for the year ended December 31, 2025.</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 has been no material change in our risk profile and management since year end.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Fair value estimation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carrying amounts of trade and other receivables, cash and cash equivalents, time deposits, restricted cash, trade and other payables, amounts with related parties and lease liabilities as at June 30, 2026 approximate their fair values.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analyzes its financial assets and liabilities carried at fair values by level of the inputs to valuation techniques used to measure the fair values. Such inputs are categorized into three levels within a fair value hierarchy as follows:</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unadjusted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included within Level 1 that are observable for the assets or liabilities, either directly (that is, as prices) or indirectly (that is, derived from prices); and</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for the assets or liabilities that are not based on observable market data (that is, unobservable inputs).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716" w:name="Tc_C-IfGTXSBEuV2W_lzG6Skg_35_6"/>
      <w:bookmarkStart w:id="717" w:name="Tc_XVeTz7TeH0OS4squyGCHeA_35_4"/>
      <w:bookmarkStart w:id="718" w:name="Tc_O0HUiOKM-0GkjoeRX6C_cw_34_6"/>
      <w:bookmarkStart w:id="719" w:name="Tc_ShW2peyT6kqfg2TcFMqp2g_34_4"/>
      <w:bookmarkStart w:id="720" w:name="Tc_ttvcDgDObkqFZSQK8vn7gQ_34_0"/>
      <w:bookmarkStart w:id="721" w:name="Tc_UPcComtOn0Oo7_pUrUWX3Q_33_6"/>
      <w:bookmarkStart w:id="722" w:name="Tc_RoQ1e48l_0e7mR5LqWy3QQ_33_4"/>
      <w:bookmarkStart w:id="723" w:name="Tc_kWA6xZtf-0WdfT1fkAUXaA_33_0"/>
      <w:bookmarkStart w:id="724" w:name="Tc_MScEl7jKLkW5MmfJmuUM6w_32_6"/>
      <w:bookmarkStart w:id="725" w:name="Tc_NgbZJemRQEqPSDIT4wcN7A_32_4"/>
      <w:bookmarkStart w:id="726" w:name="Tc_j6oSIvu4bkCLVA67_FGc4Q_32_0"/>
      <w:bookmarkStart w:id="727" w:name="Tc_Hg81CwH-ok6aEKCC9H8FFg_31_0"/>
      <w:bookmarkStart w:id="728" w:name="Tc_V6DOcUqayEquJmAv9sLgGg_29_6"/>
      <w:bookmarkStart w:id="729" w:name="Tc_8U0J9QZqMkKKAwRZp-SxBQ_29_0"/>
      <w:bookmarkStart w:id="730" w:name="Tc_7hI1qRCgU0WwcqFYkCqMag_28_6"/>
      <w:bookmarkStart w:id="731" w:name="Tc__lF44QQwcEmen0TQEi7a7w_28_4"/>
      <w:bookmarkStart w:id="732" w:name="Tc_3cD_PmW760qyTQw4Qu18pw_28_0"/>
      <w:bookmarkStart w:id="733" w:name="Tc_MeNeJH0_nkqmxVSswZ2m0A_27_6"/>
      <w:bookmarkStart w:id="734" w:name="Tc_MXJNSwKHRk-p6rJIFGKVng_27_4"/>
      <w:bookmarkStart w:id="735" w:name="Tc_Pav46hQcNE-KoaY4XoHa6g_27_0"/>
      <w:bookmarkStart w:id="736" w:name="Tc_taE3y9O5GUGETb00LOL0Sg_26_6"/>
      <w:bookmarkStart w:id="737" w:name="Tc_08i-rhZGJEKXi93bcacHUQ_26_4"/>
      <w:bookmarkStart w:id="738" w:name="Tc_rLML86WAcECR_A8qFmXnnQ_26_0"/>
      <w:bookmarkStart w:id="739" w:name="Tc_wBFt8i3EokSbzaSRn9YtOA_25_4"/>
      <w:bookmarkStart w:id="740" w:name="Tc_mrw53FneUkivGAi_oAUVXg_25_0"/>
      <w:bookmarkStart w:id="741" w:name="Tc_S7XhA0tubUelD4-zkjqxUg_24_0"/>
      <w:bookmarkStart w:id="742" w:name="Tc_fs6oScowxEG6BKvbSWVzjQ_23_0"/>
      <w:bookmarkStart w:id="743" w:name="Tc_B94Mu01va02chS8TVT8Ijw_21_6"/>
      <w:bookmarkStart w:id="744" w:name="Tc_kuy187QvbU6x8yk8PHhHSg_20_6"/>
      <w:bookmarkStart w:id="745" w:name="Tc_VD-2EYnuHUGXGDBSCa2XkA_20_4"/>
      <w:bookmarkStart w:id="746" w:name="Tc_xJGIvluxMken_wGVd16nww_20_0"/>
      <w:bookmarkStart w:id="747" w:name="Tc_DrlkcC0mokK5klY5cEFaFQ_19_6"/>
      <w:bookmarkStart w:id="748" w:name="Tc_tzcnz7I54EiS_Oc-SXUG7A_19_4"/>
      <w:bookmarkStart w:id="749" w:name="Tc_TKL3QOlNG0u7o9AT-R2VdA_19_0"/>
      <w:bookmarkStart w:id="750" w:name="Tc_3ViyFGINIUGxd8EVao4nww_18_6"/>
      <w:bookmarkStart w:id="751" w:name="Tc_eWpjlAvRSkKljTqgjwRW8Q_18_4"/>
      <w:bookmarkStart w:id="752" w:name="Tc_4y31w9lVj0GCG4b8Opd2-w_18_0"/>
      <w:bookmarkStart w:id="753" w:name="Tc_6NZTNXGTDUyIUCOiWmKg1A_17_6"/>
      <w:bookmarkStart w:id="754" w:name="Tc_xBymphJC1UWvQUqMC_5dWA_17_2"/>
      <w:bookmarkStart w:id="755" w:name="Tc_VTSPUJqPakGevAGVzor0VA_17_0"/>
      <w:bookmarkStart w:id="756" w:name="Tc_CHraCoI7VU-jAXtFIxmy4Q_16_0"/>
      <w:bookmarkStart w:id="757" w:name="Tc_OYTL47iyY0ygDRkQA7GO9Q_14_6"/>
      <w:bookmarkStart w:id="758" w:name="Tc_k41p71K4hE-FusVFO6GNHA_14_0"/>
      <w:bookmarkStart w:id="759" w:name="Tc_VGGlGvkOGUWvahhf0oNsjw_13_6"/>
      <w:bookmarkStart w:id="760" w:name="Tc_mW3rKIJw_ECRyP_ct9OA7Q_13_4"/>
      <w:bookmarkStart w:id="761" w:name="Tc_dmQnYgBwxk21E5nUZ0aYoA_13_0"/>
      <w:bookmarkStart w:id="762" w:name="Tc_Sed5iSMynUuJ5Fk3tFLXGw_12_6"/>
      <w:bookmarkStart w:id="763" w:name="Tc_EE80kpjxYk-X5Noimm_5oA_12_4"/>
      <w:bookmarkStart w:id="764" w:name="Tc_-c8gf59NlEqAbOIfNvNbqw_12_0"/>
      <w:bookmarkStart w:id="765" w:name="Tc_D2B9uvUNAU-cizOXpMBSbg_11_6"/>
      <w:bookmarkStart w:id="766" w:name="Tc_QN8duBnPa0mmcfu7ajaDoA_11_2"/>
      <w:bookmarkStart w:id="767" w:name="Tc_nKNyryoz1kWDeDkH1aniMg_11_0"/>
      <w:bookmarkStart w:id="768" w:name="Tc_jnNramv9yEGJLBJO5iK4Dg_10_6"/>
      <w:bookmarkStart w:id="769" w:name="Tc_nEy4I0JPBUGzevWJRbUnEw_10_4"/>
      <w:bookmarkStart w:id="770" w:name="Tc_xhlda4heEk6IS7W7l6-DNQ_10_0"/>
      <w:bookmarkStart w:id="771" w:name="Tc_IWYDoGTZQUioNLc3ZN_4Hw_9_4"/>
      <w:bookmarkStart w:id="772" w:name="Tc_71mr4kPJCE6ODRZUyPP-ww_9_0"/>
      <w:bookmarkStart w:id="773" w:name="Tc_MzrxjAoTj06v3ZTdOLfeSg_8_0"/>
      <w:bookmarkStart w:id="774" w:name="Tc_krWA8FiJqk2jCMS8_EXzPw_7_0"/>
      <w:bookmarkStart w:id="775" w:name="Tc_sLe09wxYIEucWx0fOh-3DA_6_8"/>
      <w:bookmarkStart w:id="776" w:name="Tc_Q422LXILiEG71t4nrbLRwQ_6_6"/>
      <w:bookmarkStart w:id="777" w:name="Tc_sqeT8sJhZkiLNt57QAvPhw_6_4"/>
      <w:bookmarkStart w:id="778" w:name="Tc_LGcLN63Rd0SRGNv2ZF3YYw_6_2"/>
      <w:bookmarkStart w:id="779" w:name="Tc_q84M6ZPE90uvOu-id-4X7g_5_8"/>
      <w:bookmarkStart w:id="780" w:name="Tc_LSUA_dcE4ESJpoJ7xINdcQ_5_6"/>
      <w:bookmarkStart w:id="781" w:name="Tc_MXMm1mrsrkiQ-neXXmOmmQ_5_4"/>
      <w:bookmarkStart w:id="782" w:name="Tc_vrIe7Ld8R0ehIyyb1SBMSQ_5_2"/>
      <w:bookmarkStart w:id="783" w:name="Tc_K2UVdktyqEWzGbzNy3xmpw_4_8"/>
      <w:bookmarkStart w:id="784" w:name="Tc_eRpHFn2_L0qwXxWHePDHTw_4_6"/>
      <w:bookmarkStart w:id="785" w:name="Tc_WQLQ_OphSkGVIAOOdda7-Q_4_4"/>
      <w:bookmarkStart w:id="786" w:name="Tc_0HNrLgiTAkqrHTlPJmRBsw_4_2"/>
      <w:bookmarkStart w:id="787" w:name="Tc_QztySzdIq0uz5zkgRVjlLw_3_6"/>
      <w:bookmarkStart w:id="788" w:name="Tc_rUIwJuDwa0KVHHaXkTgQKA_3_4"/>
      <w:bookmarkStart w:id="789" w:name="Tc_qBHCmclaI0a90lhYTKlq5A_3_2"/>
      <w:bookmarkStart w:id="790" w:name="Tc_RRKTwTho106gp3TnplFBRQ_2_4"/>
      <w:bookmarkStart w:id="791" w:name="Tc_tdfEv-sCBUezQVYe9NPBbA_2_2"/>
      <w:bookmarkStart w:id="792" w:name="Tc_ZKCZM-R8Lkm4nUTVRcwstQ_1_2"/>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b/>
          <w:i w:val="false"/>
          <w:caps w:val="false"/>
          <w:smallCaps w:val="false"/>
          <w:sz w:val="20"/>
        </w:rPr>
        <w:t>4.</w:t>
      </w:r>
      <w:r>
        <w:rPr>
          <w:rFonts w:ascii="Times New Roman;Times;serif" w:hAnsi="Times New Roman;Times;serif"/>
          <w:b/>
          <w:sz w:val="20"/>
        </w:rPr>
        <w:t>Financial instruments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Fair value estimation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sets forth the financial assets and liabilities, measured at fair value, by level within the fair value hierarchy as of December 31, 2025 and June 30,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67"/>
        <w:gridCol w:w="346"/>
        <w:gridCol w:w="1291"/>
        <w:gridCol w:w="346"/>
        <w:gridCol w:w="1411"/>
        <w:gridCol w:w="346"/>
        <w:gridCol w:w="1066"/>
        <w:gridCol w:w="346"/>
        <w:gridCol w:w="886"/>
      </w:tblGrid>
      <w:tr>
        <w:trPr/>
        <w:tc>
          <w:tcPr>
            <w:tcW w:w="4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646045" cy="175260"/>
                      <wp:effectExtent l="0" t="0" r="0" b="0"/>
                      <wp:wrapNone/>
                      <wp:docPr id="65" name="Frame65"/>
                      <a:graphic xmlns:a="http://schemas.openxmlformats.org/drawingml/2006/main">
                        <a:graphicData uri="http://schemas.microsoft.com/office/word/2010/wordprocessingShape">
                          <wps:wsp>
                            <wps:cNvSpPr txBox="1"/>
                            <wps:spPr>
                              <a:xfrm>
                                <a:off x="0" y="0"/>
                                <a:ext cx="2646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19785" cy="175260"/>
                      <wp:effectExtent l="0" t="0" r="0" b="0"/>
                      <wp:wrapNone/>
                      <wp:docPr id="67" name="Frame6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895985" cy="175260"/>
                      <wp:effectExtent l="0" t="0" r="0" b="0"/>
                      <wp:wrapNone/>
                      <wp:docPr id="69" name="Frame6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76910" cy="175260"/>
                      <wp:effectExtent l="0" t="0" r="0" b="0"/>
                      <wp:wrapNone/>
                      <wp:docPr id="71" name="Frame7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62610" cy="175260"/>
                      <wp:effectExtent l="0" t="0" r="0" b="0"/>
                      <wp:wrapNone/>
                      <wp:docPr id="73" name="Frame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69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of financial instruments using</w:t>
            </w:r>
          </w:p>
        </w:tc>
      </w:tr>
      <w:tr>
        <w:trPr/>
        <w:tc>
          <w:tcPr>
            <w:tcW w:w="4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4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4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than quoted</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4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  ​ ​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 at fair value through profits or loss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23,005</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23,273</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Crypto assets loan receivables</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42,141</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42,141</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receivables</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3,407</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3,407</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21,427</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21,427</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45,350</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45,958</w:t>
            </w:r>
          </w:p>
        </w:tc>
      </w:tr>
      <w:tr>
        <w:trPr/>
        <w:tc>
          <w:tcPr>
            <w:tcW w:w="416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112,593</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924</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23,005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136,522</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payables</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10,941</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10,941</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due to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61,351</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61,351</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to related parties</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42,497</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42,497</w:t>
            </w:r>
          </w:p>
        </w:tc>
      </w:tr>
      <w:tr>
        <w:trPr/>
        <w:tc>
          <w:tcPr>
            <w:tcW w:w="416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114,789</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115,105</w:t>
            </w:r>
          </w:p>
        </w:tc>
      </w:tr>
      <w:tr>
        <w:trPr/>
        <w:tc>
          <w:tcPr>
            <w:tcW w:w="4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 at fair value through profits or loss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15,097</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Crypto assets loan receivables</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57,788</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57,788</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8,534</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8,534</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37,122</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37,122</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52,053</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52,111</w:t>
            </w:r>
          </w:p>
        </w:tc>
      </w:tr>
      <w:tr>
        <w:trPr/>
        <w:tc>
          <w:tcPr>
            <w:tcW w:w="4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155,772</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14,822</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170,652</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payables</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75,558</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75,558</w:t>
            </w:r>
          </w:p>
        </w:tc>
      </w:tr>
      <w:tr>
        <w:trPr/>
        <w:tc>
          <w:tcPr>
            <w:tcW w:w="41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due to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49,624</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49,624</w:t>
            </w:r>
          </w:p>
        </w:tc>
      </w:tr>
      <w:tr>
        <w:trPr/>
        <w:tc>
          <w:tcPr>
            <w:tcW w:w="41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to related parties</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39,705</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39,705</w:t>
            </w:r>
          </w:p>
        </w:tc>
      </w:tr>
      <w:tr>
        <w:trPr/>
        <w:tc>
          <w:tcPr>
            <w:tcW w:w="416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164,887</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164,887</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There were no </w:t>
      </w:r>
      <w:r>
        <w:rPr>
          <w:rFonts w:ascii="Times New Roman;Times;serif" w:hAnsi="Times New Roman;Times;serif"/>
          <w:b w:val="false"/>
          <w:i w:val="false"/>
          <w:caps w:val="false"/>
          <w:smallCaps w:val="false"/>
          <w:sz w:val="20"/>
        </w:rPr>
        <w:t>transfers</w:t>
      </w:r>
      <w:r>
        <w:rPr>
          <w:rFonts w:ascii="Times New Roman;Times;serif" w:hAnsi="Times New Roman;Times;serif"/>
          <w:sz w:val="20"/>
        </w:rPr>
        <w:t xml:space="preserve"> among the Levels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 and 3 during the six-month ended June 30, 2026. There were also no changes made to any of the valuation techniques applied as of December 31, 2025.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for evaluating the fair value of a financial instrument are observable, the instrument is included in Level 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793" w:name="Tc_g-Uyf84_7kKfxTrb5K2U9w_14_0"/>
      <w:bookmarkStart w:id="794" w:name="Tc_ECcKtWUHN0qLqXLQFHlyTw_13_4"/>
      <w:bookmarkStart w:id="795" w:name="Tc_i1sN7DW0IEaCQUPvhb6lBw_13_0"/>
      <w:bookmarkStart w:id="796" w:name="Tc_PiImB3QIzEyWu2kTUNqqCA_12_4"/>
      <w:bookmarkStart w:id="797" w:name="Tc_XGLrhxhxwEulVD-qvZKZYg_12_0"/>
      <w:bookmarkStart w:id="798" w:name="Tc_mYAnP7x4dkuM85UzrvyuQw_11_4"/>
      <w:bookmarkStart w:id="799" w:name="Tc_-j4f4Kxx00e40acJwINcwA_11_0"/>
      <w:bookmarkStart w:id="800" w:name="Tc_r5_OXtA2TUmj4aRbUU959Q_10_4"/>
      <w:bookmarkStart w:id="801" w:name="Tc_8YOd19G8tUGBg2xS2xIglg_10_0"/>
      <w:bookmarkStart w:id="802" w:name="Tc_HMfbaXn-C0CYy0FNcwFgmw_9_0"/>
      <w:bookmarkStart w:id="803" w:name="Tc_CnCrfEz7hUCK9kan4eDLRA_7_0"/>
      <w:bookmarkStart w:id="804" w:name="Tc_xC1PujpZ6UO4MXPLH6Pz7g_6_4"/>
      <w:bookmarkStart w:id="805" w:name="Tc_FAn5mHohQk2qIW8JPbnOmw_6_0"/>
      <w:bookmarkStart w:id="806" w:name="Tc_-nKdKdSnqUisuVvVp-nhqw_5_2"/>
      <w:bookmarkStart w:id="807" w:name="Tc_FJrjYqM2Hkecx_YbyRlOng_5_0"/>
      <w:bookmarkStart w:id="808" w:name="Tc_M42f6sPTQEmIbyLjDIFIXw_4_4"/>
      <w:bookmarkStart w:id="809" w:name="Tc_3WKnm3i5pUqc7IzU2viSgg_4_0"/>
      <w:bookmarkStart w:id="810" w:name="Tc_AJIECht8d0SXm2usmwxvZg_3_4"/>
      <w:bookmarkStart w:id="811" w:name="Tc_dbyTlITJH0-RlLHp7qF1Uw_3_0"/>
      <w:bookmarkStart w:id="812" w:name="Tc_ZLhl-JLA8UCz53iaZqJOwQ_2_6"/>
      <w:bookmarkStart w:id="813" w:name="Tc_ZWZzgaeWRk-GQyDJeBr2Pw_2_4"/>
      <w:bookmarkStart w:id="814" w:name="Tc_QHcBLE3dSE673_APMCJysA_2_2"/>
      <w:bookmarkStart w:id="815" w:name="Tc_UuHd1PDDy0m5KpZXrczrmw_1_4"/>
      <w:bookmarkStart w:id="816" w:name="Tc_1vrRrWwfRE2Gfeu2oYkNhQ_1_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Pr>
          <w:rFonts w:ascii="Times New Roman;Times;serif" w:hAnsi="Times New Roman;Times;serif"/>
          <w:b/>
          <w:i w:val="false"/>
          <w:caps w:val="false"/>
          <w:smallCaps w:val="false"/>
          <w:sz w:val="20"/>
        </w:rPr>
        <w:t>4.</w:t>
      </w:r>
      <w:r>
        <w:rPr>
          <w:rFonts w:ascii="Times New Roman;Times;serif" w:hAnsi="Times New Roman;Times;serif"/>
          <w:b/>
          <w:sz w:val="20"/>
        </w:rPr>
        <w:t>Financial instruments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Fair value estimation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If one or more of the significant inputs are not based on observable market data, the instrument is included in Level 3. Specific valuation techniques used to value financial instruments mainly include:</w:t>
      </w:r>
    </w:p>
    <w:tbl>
      <w:tblPr>
        <w:tblW w:w="8136" w:type="dxa"/>
        <w:jc w:val="left"/>
        <w:tblInd w:w="0" w:type="dxa"/>
        <w:tblLayout w:type="fixed"/>
        <w:tblCellMar>
          <w:top w:w="28" w:type="dxa"/>
          <w:left w:w="28" w:type="dxa"/>
          <w:bottom w:w="28" w:type="dxa"/>
          <w:right w:w="28" w:type="dxa"/>
        </w:tblCellMar>
      </w:tblPr>
      <w:tblGrid>
        <w:gridCol w:w="124"/>
        <w:gridCol w:w="28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net assets value as reported by the external fund administrators without adjustment;</w:t>
            </w:r>
          </w:p>
        </w:tc>
      </w:tr>
    </w:tbl>
    <w:tbl>
      <w:tblPr>
        <w:tblW w:w="5106" w:type="dxa"/>
        <w:jc w:val="left"/>
        <w:tblInd w:w="0" w:type="dxa"/>
        <w:tblLayout w:type="fixed"/>
        <w:tblCellMar>
          <w:top w:w="28" w:type="dxa"/>
          <w:left w:w="28" w:type="dxa"/>
          <w:bottom w:w="28" w:type="dxa"/>
          <w:right w:w="28" w:type="dxa"/>
        </w:tblCellMar>
      </w:tblPr>
      <w:tblGrid>
        <w:gridCol w:w="124"/>
        <w:gridCol w:w="34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use of quoted market prices for similar instruments; </w:t>
            </w:r>
          </w:p>
        </w:tc>
      </w:tr>
    </w:tbl>
    <w:tbl>
      <w:tblPr>
        <w:tblW w:w="9006" w:type="dxa"/>
        <w:jc w:val="left"/>
        <w:tblInd w:w="0" w:type="dxa"/>
        <w:tblLayout w:type="fixed"/>
        <w:tblCellMar>
          <w:top w:w="28" w:type="dxa"/>
          <w:left w:w="28" w:type="dxa"/>
          <w:bottom w:w="28" w:type="dxa"/>
          <w:right w:w="28" w:type="dxa"/>
        </w:tblCellMar>
      </w:tblPr>
      <w:tblGrid>
        <w:gridCol w:w="124"/>
        <w:gridCol w:w="40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techniques, including market approach, are used to determine fair value for financial instruments.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Level 3 instruments mainly include unlisted equity investments. As these investments are not traded in an active market, their fair values are determined using the market approach, which requires significant judgment, assumptions and inputs, including risk-free rates, discount for lack of marketability (“DLOM”), enterprise value-to-sales multiple, relevant underlying financial projections, and market information of recent transactions (such as recent fund raising transactions undertaken by the investees) and other exposure, etc.</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presents the changes and movement of financial instruments in Level 3 for the six-month ended June 30, 2025 and 2026:</w:t>
      </w:r>
    </w:p>
    <w:p>
      <w:pPr>
        <w:pStyle w:val="TextBody"/>
        <w:bidi w:val="0"/>
        <w:spacing w:before="0" w:after="0"/>
        <w:ind w:left="0" w:right="0" w:hanging="0"/>
        <w:jc w:val="left"/>
        <w:rPr/>
      </w:pPr>
      <w:r>
        <w:rPr/>
        <w:t>​</w:t>
      </w:r>
    </w:p>
    <w:tbl>
      <w:tblPr>
        <w:tblW w:w="7567" w:type="dxa"/>
        <w:jc w:val="left"/>
        <w:tblInd w:w="0" w:type="dxa"/>
        <w:tblLayout w:type="fixed"/>
        <w:tblCellMar>
          <w:top w:w="0" w:type="dxa"/>
          <w:left w:w="0" w:type="dxa"/>
          <w:bottom w:w="0" w:type="dxa"/>
          <w:right w:w="0" w:type="dxa"/>
        </w:tblCellMar>
      </w:tblPr>
      <w:tblGrid>
        <w:gridCol w:w="3616"/>
        <w:gridCol w:w="346"/>
        <w:gridCol w:w="946"/>
        <w:gridCol w:w="346"/>
        <w:gridCol w:w="1186"/>
        <w:gridCol w:w="346"/>
        <w:gridCol w:w="781"/>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96160" cy="175260"/>
                      <wp:effectExtent l="0" t="0" r="0" b="0"/>
                      <wp:wrapNone/>
                      <wp:docPr id="74" name="Frame74"/>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00710" cy="175260"/>
                      <wp:effectExtent l="0" t="0" r="0" b="0"/>
                      <wp:wrapNone/>
                      <wp:docPr id="76" name="Frame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53110" cy="175260"/>
                      <wp:effectExtent l="0" t="0" r="0" b="0"/>
                      <wp:wrapNone/>
                      <wp:docPr id="78" name="Frame7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Fund</w:t>
            </w:r>
          </w:p>
        </w:tc>
        <w:tc>
          <w:tcPr>
            <w:tcW w:w="346" w:type="dxa"/>
            <w:tcBorders/>
            <w:vAlign w:val="center"/>
          </w:tcPr>
          <w:p>
            <w:pPr>
              <w:pStyle w:val="TableContents"/>
              <w:bidi w:val="0"/>
              <w:spacing w:before="0" w:after="1"/>
              <w:ind w:left="0" w:right="0" w:hanging="0"/>
              <w:jc w:val="center"/>
              <w:rPr/>
            </w:pPr>
            <w:r>
              <w:rPr/>
              <w:t>  ​ ​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Unlisted equity</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  ​ ​ ​</w:t>
            </w:r>
          </w:p>
        </w:tc>
      </w:tr>
      <w:tr>
        <w:trPr/>
        <w:tc>
          <w:tcPr>
            <w:tcW w:w="3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investments</w:t>
            </w:r>
          </w:p>
        </w:tc>
        <w:tc>
          <w:tcPr>
            <w:tcW w:w="346"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investments  </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5,846</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5,846</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during the period</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changes</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5,873</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6,873</w:t>
            </w:r>
          </w:p>
        </w:tc>
      </w:tr>
      <w:tr>
        <w:trPr/>
        <w:tc>
          <w:tcPr>
            <w:tcW w:w="3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22,005</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23,005</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during the period</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Disposals during the period</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(2,935)</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(2,935)</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Transfer to a related party (Note)</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(4,246)</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(4,246)</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changes</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June 30, 2026</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13,822</w:t>
            </w:r>
          </w:p>
        </w:tc>
        <w:tc>
          <w:tcPr>
            <w:tcW w:w="346" w:type="dxa"/>
            <w:tcBorders/>
            <w:vAlign w:val="center"/>
          </w:tcPr>
          <w:p>
            <w:pPr>
              <w:pStyle w:val="TableContents"/>
              <w:bidi w:val="0"/>
              <w:spacing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14,822</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June 2026, the Group transferred its 100% holdings in a fund investment for a cash consideration of approximately US$4 million to a related entity as part of an internal restructuring. Amount was settled subsequently in July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17" w:name="Tc_Lb4Ld3aj0Em3H9rvTTBU-g_11_0"/>
      <w:bookmarkStart w:id="818" w:name="Tc_0jwq8Y8sxkegaiRQ1NtFoQ_10_0"/>
      <w:bookmarkStart w:id="819" w:name="Tc_XoG98TWtZE6l8IVq4FAKDA_9_0"/>
      <w:bookmarkStart w:id="820" w:name="Tc_hBJYX2BHeUawlrhZdXR6Sg_8_0"/>
      <w:bookmarkStart w:id="821" w:name="Tc_2SqxWiwLskOCGXI9OEWV4A_7_0"/>
      <w:bookmarkStart w:id="822" w:name="Tc_hlkUEyWZ50u1mDx-sGNoLQ_6_0"/>
      <w:bookmarkStart w:id="823" w:name="Tc_P1O83xtwG0y3MNTDTtDDlg_5_0"/>
      <w:bookmarkStart w:id="824" w:name="Tc_LlSZrKpFlUmKJg06ykqmBA_4_4"/>
      <w:bookmarkStart w:id="825" w:name="Tc_PpN3AWISDk2jyhlakBFH0w_4_2"/>
      <w:bookmarkStart w:id="826" w:name="Tc_6dFYZKGYt0-1O_QncFTnHA_3_4"/>
      <w:bookmarkStart w:id="827" w:name="Tc_npeEORUbc0edKmQXZMIMaQ_3_2"/>
      <w:bookmarkStart w:id="828" w:name="Tc_tAnpIDHVJkKhDshqnB5GmQ_2_4"/>
      <w:bookmarkStart w:id="829" w:name="Tc_XBY5glrZPkGaWA7w61bTfg_2_2"/>
      <w:bookmarkStart w:id="830" w:name="Tc_QKVEu3DI-kCQOK0_W2Zrqg_1_4"/>
      <w:bookmarkStart w:id="831" w:name="Tc_kQEuwAa-nEeNxudTB7047A_1_2"/>
      <w:bookmarkStart w:id="832" w:name="Tc_h9MMI6QLDUyWsNZrlMNfiQ_8_0"/>
      <w:bookmarkStart w:id="833" w:name="Tc_7QzkEI1u_EeDVucy2PrD8A_7_0"/>
      <w:bookmarkStart w:id="834" w:name="Tc_t0zls0P2BU-xgfHwn98Xhw_6_0"/>
      <w:bookmarkStart w:id="835" w:name="Tc_q7lCx_46K0mBzJcJw9lJgA_5_0"/>
      <w:bookmarkStart w:id="836" w:name="Tc_OFD5Gtw8S0aM4U5w8MSmrg_4_4"/>
      <w:bookmarkStart w:id="837" w:name="Tc_4Yv83TELAE-hyJSQ86FEwA_4_2"/>
      <w:bookmarkStart w:id="838" w:name="Tc_QJ38kAf9NEuotZQA0EIfeA_3_4"/>
      <w:bookmarkStart w:id="839" w:name="Tc_l8zlLzDahU2tOzlo2lOQiA_3_2"/>
      <w:bookmarkStart w:id="840" w:name="Tc_QZADx1Bf3Umgon9aYv_Tug_2_4"/>
      <w:bookmarkStart w:id="841" w:name="Tc_YHhHBIKQtEyzKhQDgFI8Fw_2_2"/>
      <w:bookmarkStart w:id="842" w:name="Tc_IJzeIlVxKk-k9hwuwu1tlQ_1_4"/>
      <w:bookmarkStart w:id="843" w:name="Tc_wrwngs7Qk0G-7THI6kn7jg_1_2"/>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Pr>
          <w:rFonts w:ascii="Times New Roman;Times;serif" w:hAnsi="Times New Roman;Times;serif"/>
          <w:b/>
          <w:i w:val="false"/>
          <w:caps w:val="false"/>
          <w:smallCaps w:val="false"/>
          <w:sz w:val="20"/>
        </w:rPr>
        <w:t>5.</w:t>
      </w:r>
      <w:r>
        <w:rPr>
          <w:rFonts w:ascii="Times New Roman;Times;serif" w:hAnsi="Times New Roman;Times;serif"/>
          <w:b/>
          <w:sz w:val="20"/>
        </w:rPr>
        <w:t>Cash and cash equivalents and restricted cash</w:t>
      </w:r>
    </w:p>
    <w:p>
      <w:pPr>
        <w:pStyle w:val="TextBody"/>
        <w:bidi w:val="0"/>
        <w:spacing w:before="0" w:after="0"/>
        <w:ind w:left="0" w:right="0" w:hanging="0"/>
        <w:jc w:val="left"/>
        <w:rPr/>
      </w:pPr>
      <w:r>
        <w:rPr/>
        <w:t>​</w:t>
      </w:r>
    </w:p>
    <w:tbl>
      <w:tblPr>
        <w:tblW w:w="6800" w:type="dxa"/>
        <w:jc w:val="left"/>
        <w:tblInd w:w="0" w:type="dxa"/>
        <w:tblLayout w:type="fixed"/>
        <w:tblCellMar>
          <w:top w:w="0" w:type="dxa"/>
          <w:left w:w="0" w:type="dxa"/>
          <w:bottom w:w="0" w:type="dxa"/>
          <w:right w:w="0" w:type="dxa"/>
        </w:tblCellMar>
      </w:tblPr>
      <w:tblGrid>
        <w:gridCol w:w="4021"/>
        <w:gridCol w:w="346"/>
        <w:gridCol w:w="1096"/>
        <w:gridCol w:w="346"/>
        <w:gridCol w:w="99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553335" cy="175260"/>
                      <wp:effectExtent l="0" t="0" r="0" b="0"/>
                      <wp:wrapNone/>
                      <wp:docPr id="81" name="Frame8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5960" cy="175260"/>
                      <wp:effectExtent l="0" t="0" r="0" b="0"/>
                      <wp:wrapNone/>
                      <wp:docPr id="83" name="Frame8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29285" cy="175260"/>
                      <wp:effectExtent l="0" t="0" r="0" b="0"/>
                      <wp:wrapNone/>
                      <wp:docPr id="85" name="Frame8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bank</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24,641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26,372</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bank deposits</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5,254</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 with maturities over three months</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3,171</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w:t>
            </w:r>
          </w:p>
        </w:tc>
      </w:tr>
      <w:tr>
        <w:trPr/>
        <w:tc>
          <w:tcPr>
            <w:tcW w:w="40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33,902</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34,248</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Cash and cash equivalents, time deposits and restricted cash as of December 31, 2025 and June 30, 2026 primarily consist of the following currencies:</w:t>
      </w:r>
    </w:p>
    <w:p>
      <w:pPr>
        <w:pStyle w:val="TextBody"/>
        <w:bidi w:val="0"/>
        <w:spacing w:before="0" w:after="0"/>
        <w:ind w:left="0" w:right="0" w:hanging="0"/>
        <w:jc w:val="left"/>
        <w:rPr/>
      </w:pPr>
      <w:r>
        <w:rPr/>
        <w:t>​</w:t>
      </w:r>
    </w:p>
    <w:tbl>
      <w:tblPr>
        <w:tblW w:w="6065" w:type="dxa"/>
        <w:jc w:val="left"/>
        <w:tblInd w:w="0" w:type="dxa"/>
        <w:tblLayout w:type="fixed"/>
        <w:tblCellMar>
          <w:top w:w="0" w:type="dxa"/>
          <w:left w:w="0" w:type="dxa"/>
          <w:bottom w:w="0" w:type="dxa"/>
          <w:right w:w="0" w:type="dxa"/>
        </w:tblCellMar>
      </w:tblPr>
      <w:tblGrid>
        <w:gridCol w:w="3286"/>
        <w:gridCol w:w="346"/>
        <w:gridCol w:w="1096"/>
        <w:gridCol w:w="346"/>
        <w:gridCol w:w="99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86610" cy="175260"/>
                      <wp:effectExtent l="0" t="0" r="0" b="0"/>
                      <wp:wrapNone/>
                      <wp:docPr id="86" name="Frame86"/>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5960" cy="175260"/>
                      <wp:effectExtent l="0" t="0" r="0" b="0"/>
                      <wp:wrapNone/>
                      <wp:docPr id="88" name="Frame8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29285" cy="175260"/>
                      <wp:effectExtent l="0" t="0" r="0" b="0"/>
                      <wp:wrapNone/>
                      <wp:docPr id="90" name="Frame9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26,584</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25,869</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Renminbi (“RMB”)</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Singapore dollar (“SGD”)</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 dollar (“HK$”)</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3,613</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4,736</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Arab Emirates dirhams (“AED”)</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Japanese Yen (“JPY”)</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33,902</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34,248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44" w:name="Tc_-aGugg5ru0-J63vtb7XjHA_9_0"/>
      <w:bookmarkStart w:id="845" w:name="Tc_cxzDahsLHUeGLWjrh97HvA_8_0"/>
      <w:bookmarkStart w:id="846" w:name="Tc_wuIfme87FEO3-GclyNRW6A_7_0"/>
      <w:bookmarkStart w:id="847" w:name="Tc_S4Im8weFaUi6HQf7BPN9xQ_6_0"/>
      <w:bookmarkStart w:id="848" w:name="Tc_ny7HzJoQ7EuZZr7heR98zQ_5_0"/>
      <w:bookmarkStart w:id="849" w:name="Tc_jjmHZJggPkmohZHw_SrD-Q_4_4"/>
      <w:bookmarkStart w:id="850" w:name="Tc_LjxgDgv9t0KxPV8K7bukFg_4_2"/>
      <w:bookmarkStart w:id="851" w:name="Tc_wG0LhphZSkGoNm9CPD-ipw_3_4"/>
      <w:bookmarkStart w:id="852" w:name="Tc_w7Y3LblspE2kzX4_6JT1eQ_3_2"/>
      <w:bookmarkStart w:id="853" w:name="Tc_vK45EiFyO0OKu0GcayFq9Q_2_4"/>
      <w:bookmarkStart w:id="854" w:name="Tc_AwWW8oVNaUCPpdJoGeWpbQ_2_2"/>
      <w:bookmarkStart w:id="855" w:name="Tc_EksB85XzVU-6pEgtE67lMw_1_4"/>
      <w:bookmarkStart w:id="856" w:name="Tc_8nPwXeTIfkW96MkNh1jiXg_1_2"/>
      <w:bookmarkStart w:id="857" w:name="_dd03a8b8_c84e_455f_bd1b_7fe1e62e7fd3"/>
      <w:bookmarkStart w:id="858" w:name="Tc_izsauTcISECy-yAtbS2pqQ_5_0"/>
      <w:bookmarkStart w:id="859" w:name="Tc_sEAQjDOzK0yD6Lmz_ii1iQ_4_4"/>
      <w:bookmarkStart w:id="860" w:name="Tc_Xot4HVJFNkq-xJ6YcfGntA_4_2"/>
      <w:bookmarkStart w:id="861" w:name="Tc_pVAVl0XuMEK04Ia6NEsRcw_3_4"/>
      <w:bookmarkStart w:id="862" w:name="Tc_t0F6UEzfAUqmvpHdwiDXxQ_3_2"/>
      <w:bookmarkStart w:id="863" w:name="Tc_jm631u34502W82UEvgG9FA_2_4"/>
      <w:bookmarkStart w:id="864" w:name="Tc_5RsJUjXvH0GgrpgFdXRUAg_2_2"/>
      <w:bookmarkStart w:id="865" w:name="Tc_lMcXDpgCQEmlYtVx9mUlNw_1_4"/>
      <w:bookmarkStart w:id="866" w:name="Tc_5UOMpgNC1kqKkuGvZnbxmA_1_2"/>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Pr>
          <w:rFonts w:ascii="Times New Roman;Times;serif" w:hAnsi="Times New Roman;Times;serif"/>
          <w:b/>
          <w:i w:val="false"/>
          <w:caps w:val="false"/>
          <w:smallCaps w:val="false"/>
          <w:sz w:val="20"/>
        </w:rPr>
        <w:t>6.</w:t>
      </w:r>
      <w:r>
        <w:rPr>
          <w:rFonts w:ascii="Times New Roman;Times;serif" w:hAnsi="Times New Roman;Times;serif"/>
          <w:b/>
          <w:sz w:val="20"/>
        </w:rPr>
        <w:t>Digital assets</w:t>
      </w:r>
    </w:p>
    <w:p>
      <w:pPr>
        <w:pStyle w:val="TextBody"/>
        <w:bidi w:val="0"/>
        <w:spacing w:before="0" w:after="0"/>
        <w:ind w:left="0" w:right="0" w:hanging="0"/>
        <w:jc w:val="left"/>
        <w:rPr/>
      </w:pPr>
      <w:r>
        <w:rPr/>
        <w:t>​</w:t>
      </w:r>
    </w:p>
    <w:tbl>
      <w:tblPr>
        <w:tblW w:w="6365" w:type="dxa"/>
        <w:jc w:val="left"/>
        <w:tblInd w:w="0" w:type="dxa"/>
        <w:tblLayout w:type="fixed"/>
        <w:tblCellMar>
          <w:top w:w="0" w:type="dxa"/>
          <w:left w:w="0" w:type="dxa"/>
          <w:bottom w:w="0" w:type="dxa"/>
          <w:right w:w="0" w:type="dxa"/>
        </w:tblCellMar>
      </w:tblPr>
      <w:tblGrid>
        <w:gridCol w:w="3586"/>
        <w:gridCol w:w="346"/>
        <w:gridCol w:w="1096"/>
        <w:gridCol w:w="346"/>
        <w:gridCol w:w="99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77110" cy="175260"/>
                      <wp:effectExtent l="0" t="0" r="0" b="0"/>
                      <wp:wrapNone/>
                      <wp:docPr id="91" name="Frame91"/>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5960" cy="175260"/>
                      <wp:effectExtent l="0" t="0" r="0" b="0"/>
                      <wp:wrapNone/>
                      <wp:docPr id="93" name="Frame9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29285" cy="175260"/>
                      <wp:effectExtent l="0" t="0" r="0" b="0"/>
                      <wp:wrapNone/>
                      <wp:docPr id="95" name="Frame9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held on exchange institution</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45,958</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52,111</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sets forth the fair values of digital assets held by the Group as of the end of the reporting periods:</w:t>
      </w:r>
    </w:p>
    <w:p>
      <w:pPr>
        <w:pStyle w:val="TextBody"/>
        <w:bidi w:val="0"/>
        <w:spacing w:before="0" w:after="0"/>
        <w:ind w:left="0" w:right="0" w:hanging="0"/>
        <w:jc w:val="left"/>
        <w:rPr/>
      </w:pPr>
      <w:r>
        <w:rPr/>
        <w:t>​</w:t>
      </w:r>
    </w:p>
    <w:tbl>
      <w:tblPr>
        <w:tblW w:w="4685" w:type="dxa"/>
        <w:jc w:val="left"/>
        <w:tblInd w:w="0" w:type="dxa"/>
        <w:tblLayout w:type="fixed"/>
        <w:tblCellMar>
          <w:top w:w="0" w:type="dxa"/>
          <w:left w:w="0" w:type="dxa"/>
          <w:bottom w:w="0" w:type="dxa"/>
          <w:right w:w="0" w:type="dxa"/>
        </w:tblCellMar>
      </w:tblPr>
      <w:tblGrid>
        <w:gridCol w:w="1906"/>
        <w:gridCol w:w="346"/>
        <w:gridCol w:w="1096"/>
        <w:gridCol w:w="346"/>
        <w:gridCol w:w="99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10310" cy="175260"/>
                      <wp:effectExtent l="0" t="0" r="0" b="0"/>
                      <wp:wrapNone/>
                      <wp:docPr id="96" name="Frame9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5960" cy="175260"/>
                      <wp:effectExtent l="0" t="0" r="0" b="0"/>
                      <wp:wrapNone/>
                      <wp:docPr id="98" name="Frame9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29285" cy="175260"/>
                      <wp:effectExtent l="0" t="0" r="0" b="0"/>
                      <wp:wrapNone/>
                      <wp:docPr id="100" name="Frame10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Bitcoin (“BTC”)</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7,883</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20,447</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Ethereum (“ETH”)</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5,937</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3,812</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 Tether (“USDT”)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7,933</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 Coin (“USDC”)</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12,449</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17,882</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 (Note)</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45,958</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52,111</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Others mainly consist of “USDG”, “XRP”, “ADA”, “BCH”, “DOT”, “BNB”, “TRX” and “SOL”, no other crypto asset individually representing more than 5% of the total digital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67" w:name="_81912fbb_6675_4b42_a124_72bb2bb505fc_3"/>
      <w:bookmarkStart w:id="868" w:name="_81912fbb_6675_4b42_a124_72bb2bb505fc_2"/>
      <w:bookmarkStart w:id="869" w:name="_81912fbb_6675_4b42_a124_72bb2bb505fc"/>
      <w:bookmarkStart w:id="870" w:name="Tc_75sf1wJxtkKbAbxPCfaTRQ_21_0"/>
      <w:bookmarkStart w:id="871" w:name="Tc_IKkwjV45W06YZo7q9rkoUA_19_0"/>
      <w:bookmarkStart w:id="872" w:name="Tc_VLaphWRDUUSaf_px6nxF-Q_18_0"/>
      <w:bookmarkStart w:id="873" w:name="Tc_yuwkvEGBvkie2cfz1BKFcA_17_0"/>
      <w:bookmarkStart w:id="874" w:name="Tc_AXY5Me4E9UuJRQroetSHHA_16_0"/>
      <w:bookmarkStart w:id="875" w:name="Tc_T2l0zFCNhU2FNFEAG_ZC1g_14_0"/>
      <w:bookmarkStart w:id="876" w:name="Tc_jeDHu8krUE-eyYcDGurQ9g_13_0"/>
      <w:bookmarkStart w:id="877" w:name="Tc_Ul6cqXpz40qKVq82ssgSDg_12_0"/>
      <w:bookmarkStart w:id="878" w:name="Tc_mjZF8BMD6UuGmGZUvZNCcA_11_4"/>
      <w:bookmarkStart w:id="879" w:name="Tc_7sX9WGx_Z0eTz_6HX6N0lA_11_0"/>
      <w:bookmarkStart w:id="880" w:name="Tc_s_K5PTiRd0SwOlcplCuGRg_10_0"/>
      <w:bookmarkStart w:id="881" w:name="Tc_2ohCRIyXIU2wllYmkyxSRw_9_0"/>
      <w:bookmarkStart w:id="882" w:name="Tc_YfBbXMQ66Uy9u3x0KCBZkA_7_0"/>
      <w:bookmarkStart w:id="883" w:name="Tc_SvkrOF2y2keEVmv1BRmrFQ_6_0"/>
      <w:bookmarkStart w:id="884" w:name="Tc_s2SjSqknmUO0EAEUwI91wA_5_0"/>
      <w:bookmarkStart w:id="885" w:name="Tc_mgpFrDTSn0iN4SXV4JXtVw_4_4"/>
      <w:bookmarkStart w:id="886" w:name="Tc_bfgEaDJYfU6_vuYAFYBO9A_4_2"/>
      <w:bookmarkStart w:id="887" w:name="Tc_6euGzsP3IUSFlFYBDWFT0Q_3_4"/>
      <w:bookmarkStart w:id="888" w:name="Tc_tZXGMIglJ0O6x5JBacAOOg_3_2"/>
      <w:bookmarkStart w:id="889" w:name="Tc_sBlGB-fjWk6EUl0nGH_VHw_2_4"/>
      <w:bookmarkStart w:id="890" w:name="Tc_-1YRvGJNqEOA-NDM-A0FGA_2_2"/>
      <w:bookmarkStart w:id="891" w:name="Tc_HMRFRid_OE-5X-djtU5jyg_1_4"/>
      <w:bookmarkStart w:id="892" w:name="Tc_37U375oIpk-T9rDkrsHjVw_1_2"/>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Times New Roman;Times;serif" w:hAnsi="Times New Roman;Times;serif"/>
          <w:b/>
          <w:i w:val="false"/>
          <w:caps w:val="false"/>
          <w:smallCaps w:val="false"/>
          <w:sz w:val="20"/>
        </w:rPr>
        <w:t>7.</w:t>
      </w:r>
      <w:r>
        <w:rPr>
          <w:rFonts w:ascii="Times New Roman;Times;serif" w:hAnsi="Times New Roman;Times;serif"/>
          <w:b/>
          <w:sz w:val="20"/>
        </w:rPr>
        <w:t>Trade and other receivables, net</w:t>
      </w:r>
    </w:p>
    <w:p>
      <w:pPr>
        <w:pStyle w:val="TextBody"/>
        <w:bidi w:val="0"/>
        <w:spacing w:before="0" w:after="0"/>
        <w:ind w:left="0" w:right="0" w:hanging="0"/>
        <w:jc w:val="left"/>
        <w:rPr/>
      </w:pPr>
      <w:r>
        <w:rPr/>
        <w:t>​</w:t>
      </w:r>
    </w:p>
    <w:tbl>
      <w:tblPr>
        <w:tblW w:w="5720" w:type="dxa"/>
        <w:jc w:val="left"/>
        <w:tblInd w:w="0" w:type="dxa"/>
        <w:tblLayout w:type="fixed"/>
        <w:tblCellMar>
          <w:top w:w="0" w:type="dxa"/>
          <w:left w:w="0" w:type="dxa"/>
          <w:bottom w:w="0" w:type="dxa"/>
          <w:right w:w="0" w:type="dxa"/>
        </w:tblCellMar>
      </w:tblPr>
      <w:tblGrid>
        <w:gridCol w:w="2941"/>
        <w:gridCol w:w="346"/>
        <w:gridCol w:w="1096"/>
        <w:gridCol w:w="346"/>
        <w:gridCol w:w="99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867535" cy="175260"/>
                      <wp:effectExtent l="0" t="0" r="0" b="0"/>
                      <wp:wrapNone/>
                      <wp:docPr id="101" name="Frame101"/>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5960" cy="175260"/>
                      <wp:effectExtent l="0" t="0" r="0" b="0"/>
                      <wp:wrapNone/>
                      <wp:docPr id="103" name="Frame10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29285" cy="175260"/>
                      <wp:effectExtent l="0" t="0" r="0" b="0"/>
                      <wp:wrapNone/>
                      <wp:docPr id="105" name="Frame10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gross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receivables, net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5,490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4,474</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receivables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11,198</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6,407</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and other tax recoverable</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trade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17,120</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12,774</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non-current rental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16,625</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12,246</w:t>
            </w:r>
          </w:p>
        </w:tc>
      </w:tr>
    </w:tbl>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Trade receivables are non-interest bearing and are generally on 30-90 days (December 31, 2025:same) credit terms.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Collateral receivables and collateral payables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offers structured cryptocurrency derivative arrangements to customers, comprising:</w:t>
      </w:r>
    </w:p>
    <w:tbl>
      <w:tblPr>
        <w:tblW w:w="10205" w:type="dxa"/>
        <w:jc w:val="left"/>
        <w:tblInd w:w="0" w:type="dxa"/>
        <w:tblLayout w:type="fixed"/>
        <w:tblCellMar>
          <w:top w:w="28" w:type="dxa"/>
          <w:left w:w="28" w:type="dxa"/>
          <w:bottom w:w="28" w:type="dxa"/>
          <w:right w:w="28" w:type="dxa"/>
        </w:tblCellMar>
      </w:tblPr>
      <w:tblGrid>
        <w:gridCol w:w="124"/>
        <w:gridCol w:w="254"/>
        <w:gridCol w:w="9827"/>
      </w:tblGrid>
      <w:tr>
        <w:trPr/>
        <w:tc>
          <w:tcPr>
            <w:tcW w:w="124" w:type="dxa"/>
            <w:tcBorders/>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Accumulator and Decumulator (“AQDQ”) – Structured derivative contracts that allow customers to systematically buy (accumulate) or sell (decumulate) specified cryptocurrencies at predetermined strike prices over a set period; and</w:t>
            </w:r>
          </w:p>
        </w:tc>
      </w:tr>
    </w:tbl>
    <w:tbl>
      <w:tblPr>
        <w:tblW w:w="10205" w:type="dxa"/>
        <w:jc w:val="left"/>
        <w:tblInd w:w="0" w:type="dxa"/>
        <w:tblLayout w:type="fixed"/>
        <w:tblCellMar>
          <w:top w:w="28" w:type="dxa"/>
          <w:left w:w="28" w:type="dxa"/>
          <w:bottom w:w="28" w:type="dxa"/>
          <w:right w:w="28"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Coupon Notes (“FCN”) – Yield-enhancing structured investments offering fixed periodic coupon payments with embedded options. FCN structures (including bullish, bearish, capped-loss, and worst-of variants) feature early redemption mechanisms upon specified knock-out events and may settle via cash or physical delivery of the underlying digital assets at maturity, subject to strike price performance and defined loss-limit parameters.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order to mitigate market and credit exposures, these structured products involve bilateral collateral and back-to-back hedging arrangements. The structural difference in margin terms, where the Group collects higher initial collateral from customers (collateral payables) than it is required to post to institutional hedging counterparties (collateral receivables), results in collateral payables significantly exceeding collateral receivables.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Both receivables and payables are measured at fair value. The Group maintains operational control over custodial assets but does not assume ownership.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893" w:name="Tc_sk27wxub-U-ckW5aJ5cUSw_8_0"/>
      <w:bookmarkStart w:id="894" w:name="Tc_UhTuyBz37USlpjQvznCDVA_7_0"/>
      <w:bookmarkStart w:id="895" w:name="Tc_AERrQNHjtUW5NDbvFSDZyw_6_0"/>
      <w:bookmarkStart w:id="896" w:name="Tc_wqgLiWWl2UW5hR0cRF-lmA_5_2"/>
      <w:bookmarkStart w:id="897" w:name="Tc_CNU_5-aPuEq-B8604cp6vQ_5_0"/>
      <w:bookmarkStart w:id="898" w:name="Tc_O4aSLyotBECdADghk1IPYg_4_4"/>
      <w:bookmarkStart w:id="899" w:name="Tc_IAYhNlNV3Ea0b3ZIs_ZEEw_4_2"/>
      <w:bookmarkStart w:id="900" w:name="Tc_SNil8vr0VkqSXiuoFCqXEw_3_4"/>
      <w:bookmarkStart w:id="901" w:name="Tc_dZuTZsVS1ECyJTBgFRIbTA_3_2"/>
      <w:bookmarkStart w:id="902" w:name="Tc_YPw550nbMECgdaHj5XpsRQ_2_4"/>
      <w:bookmarkStart w:id="903" w:name="Tc_ahijbIcGdEK2t_t8pxo3oQ_2_2"/>
      <w:bookmarkStart w:id="904" w:name="Tc_BJpRIIOzkkm7mDv1VrNcaQ_1_4"/>
      <w:bookmarkStart w:id="905" w:name="Tc_-BDzlSvzJU2WQUuzJKX6hw_1_2"/>
      <w:bookmarkStart w:id="906" w:name="_73d28052_6b3a_40cb_8549_5a9182fea95a"/>
      <w:bookmarkStart w:id="907" w:name="Tc_MCZ_abbBj0iQpbsFxqN7yQ_8_0"/>
      <w:bookmarkStart w:id="908" w:name="Tc_0iAHABbwRU6rXiQocv9_rA_7_0"/>
      <w:bookmarkStart w:id="909" w:name="Tc_TB__rL5bVk6WahrEz6oV4g_6_4"/>
      <w:bookmarkStart w:id="910" w:name="Tc_CYSBVwzQsE-WV9R8rULKcw_6_0"/>
      <w:bookmarkStart w:id="911" w:name="Tc_MtY1tOZFs06ZlMHqTUcinw_5_2"/>
      <w:bookmarkStart w:id="912" w:name="Tc_MaMpcsxqxkCWLl8uBDZ_AA_5_0"/>
      <w:bookmarkStart w:id="913" w:name="Tc_JSP8EyRMN0OlFRe0SEAabg_4_4"/>
      <w:bookmarkStart w:id="914" w:name="Tc__uIrkXAjJU2AbdBxLrCtPA_4_2"/>
      <w:bookmarkStart w:id="915" w:name="Tc_g6kChy80XESN208Jdl2lfw_3_4"/>
      <w:bookmarkStart w:id="916" w:name="Tc_Zxq7nJf-gEqw1uanfAlu8g_3_2"/>
      <w:bookmarkStart w:id="917" w:name="Tc_2BxORbMsVkawAcPVpnxccg_2_4"/>
      <w:bookmarkStart w:id="918" w:name="Tc_dM1YObSNu0SVSfaCmGhR_g_2_2"/>
      <w:bookmarkStart w:id="919" w:name="Tc_Ta0rD_r_OEqS5GFBjLVuPQ_1_4"/>
      <w:bookmarkStart w:id="920" w:name="Tc_c8Fi2X0oo02kSwzVzRVS9w_1_2"/>
      <w:bookmarkStart w:id="921" w:name="_b150fe06_487c_44e1_8729_c6737cc608d6"/>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rFonts w:ascii="Times New Roman;Times;serif" w:hAnsi="Times New Roman;Times;serif"/>
          <w:b/>
          <w:i w:val="false"/>
          <w:caps w:val="false"/>
          <w:smallCaps w:val="false"/>
          <w:sz w:val="20"/>
        </w:rPr>
        <w:t>8.</w:t>
      </w:r>
      <w:r>
        <w:rPr>
          <w:rFonts w:ascii="Times New Roman;Times;serif" w:hAnsi="Times New Roman;Times;serif"/>
          <w:b/>
          <w:sz w:val="20"/>
        </w:rPr>
        <w:t>Collateral receivables and collateral payables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sets forth the fair values of collateral receivables and payables as of the end of the financial periods: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Collateral receivables</w:t>
      </w:r>
    </w:p>
    <w:tbl>
      <w:tblPr>
        <w:tblW w:w="3410" w:type="dxa"/>
        <w:jc w:val="left"/>
        <w:tblInd w:w="0" w:type="dxa"/>
        <w:tblLayout w:type="fixed"/>
        <w:tblCellMar>
          <w:top w:w="0" w:type="dxa"/>
          <w:left w:w="0" w:type="dxa"/>
          <w:bottom w:w="0" w:type="dxa"/>
          <w:right w:w="0" w:type="dxa"/>
        </w:tblCellMar>
      </w:tblPr>
      <w:tblGrid>
        <w:gridCol w:w="631"/>
        <w:gridCol w:w="346"/>
        <w:gridCol w:w="1096"/>
        <w:gridCol w:w="346"/>
        <w:gridCol w:w="991"/>
      </w:tblGrid>
      <w:tr>
        <w:trPr/>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00685" cy="175260"/>
                      <wp:effectExtent l="0" t="0" r="0" b="0"/>
                      <wp:wrapNone/>
                      <wp:docPr id="106" name="Frame10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5960" cy="175260"/>
                      <wp:effectExtent l="0" t="0" r="0" b="0"/>
                      <wp:wrapNone/>
                      <wp:docPr id="108" name="Frame10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29285" cy="175260"/>
                      <wp:effectExtent l="0" t="0" r="0" b="0"/>
                      <wp:wrapNone/>
                      <wp:docPr id="110" name="Frame11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4,065</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3,407</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8,534</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Collateral payables</w:t>
      </w:r>
    </w:p>
    <w:tbl>
      <w:tblPr>
        <w:tblW w:w="3410" w:type="dxa"/>
        <w:jc w:val="left"/>
        <w:tblInd w:w="0" w:type="dxa"/>
        <w:tblLayout w:type="fixed"/>
        <w:tblCellMar>
          <w:top w:w="0" w:type="dxa"/>
          <w:left w:w="0" w:type="dxa"/>
          <w:bottom w:w="0" w:type="dxa"/>
          <w:right w:w="0" w:type="dxa"/>
        </w:tblCellMar>
      </w:tblPr>
      <w:tblGrid>
        <w:gridCol w:w="631"/>
        <w:gridCol w:w="346"/>
        <w:gridCol w:w="1096"/>
        <w:gridCol w:w="346"/>
        <w:gridCol w:w="991"/>
      </w:tblGrid>
      <w:tr>
        <w:trPr/>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00685" cy="175260"/>
                      <wp:effectExtent l="0" t="0" r="0" b="0"/>
                      <wp:wrapNone/>
                      <wp:docPr id="111" name="Frame11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5960" cy="175260"/>
                      <wp:effectExtent l="0" t="0" r="0" b="0"/>
                      <wp:wrapNone/>
                      <wp:docPr id="113" name="Frame11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29285" cy="175260"/>
                      <wp:effectExtent l="0" t="0" r="0" b="0"/>
                      <wp:wrapNone/>
                      <wp:docPr id="115" name="Frame11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30,875</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7,164</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25,027</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17,302</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75,558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2" w:name="Tc_Njyzl6JWsUyfArzo4mEEHA_11_0"/>
      <w:bookmarkStart w:id="923" w:name="Tc_YDHf5mF4t0OG9uV7xrTABg_10_0"/>
      <w:bookmarkStart w:id="924" w:name="Tc_yBk11xXX3U6Rm8eDlkoSYg_9_0"/>
      <w:bookmarkStart w:id="925" w:name="Tc_WasFfW3Dq0iCGOFahA-myw_7_0"/>
      <w:bookmarkStart w:id="926" w:name="Tc_48ZhZqR_DEO8_YlvphccEg_6_0"/>
      <w:bookmarkStart w:id="927" w:name="Tc_VPZuOEqykkudlkt7y1e_FA_5_0"/>
      <w:bookmarkStart w:id="928" w:name="Tc_8XXAa9F9d0eLbZ3BdZ3FAw_4_4"/>
      <w:bookmarkStart w:id="929" w:name="Tc_XUABkCaFfEGjrbGrGf3Sig_4_2"/>
      <w:bookmarkStart w:id="930" w:name="Tc_nVb3r3MVxEq169gnuaFiGw_3_4"/>
      <w:bookmarkStart w:id="931" w:name="Tc_k22TX3OM9kWc_brEUQahww_3_2"/>
      <w:bookmarkStart w:id="932" w:name="Tc_KGS1jNc40Ei_zBtKqRTGhQ_2_4"/>
      <w:bookmarkStart w:id="933" w:name="Tc_GoIdPg5LmUKjCUXin-7oug_2_2"/>
      <w:bookmarkStart w:id="934" w:name="Tc_jqt5EfE5J06APJ4lwUN97w_1_4"/>
      <w:bookmarkStart w:id="935" w:name="Tc_0x_hZLiYVUee-r3G0-SRnw_1_2"/>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rFonts w:ascii="Times New Roman;Times;serif" w:hAnsi="Times New Roman;Times;serif"/>
          <w:b/>
          <w:i w:val="false"/>
          <w:caps w:val="false"/>
          <w:smallCaps w:val="false"/>
          <w:sz w:val="20"/>
        </w:rPr>
        <w:t>9.</w:t>
      </w:r>
      <w:r>
        <w:rPr>
          <w:rFonts w:ascii="Times New Roman;Times;serif" w:hAnsi="Times New Roman;Times;serif"/>
          <w:b/>
          <w:sz w:val="20"/>
        </w:rPr>
        <w:t>Financial assets at fair value through profits or loss</w:t>
      </w:r>
    </w:p>
    <w:p>
      <w:pPr>
        <w:pStyle w:val="TextBody"/>
        <w:bidi w:val="0"/>
        <w:spacing w:before="0" w:after="0"/>
        <w:ind w:left="0" w:right="0" w:hanging="0"/>
        <w:jc w:val="left"/>
        <w:rPr/>
      </w:pPr>
      <w:r>
        <w:rPr/>
        <w:t>​</w:t>
      </w:r>
    </w:p>
    <w:tbl>
      <w:tblPr>
        <w:tblW w:w="5720" w:type="dxa"/>
        <w:jc w:val="left"/>
        <w:tblInd w:w="0" w:type="dxa"/>
        <w:tblLayout w:type="fixed"/>
        <w:tblCellMar>
          <w:top w:w="0" w:type="dxa"/>
          <w:left w:w="0" w:type="dxa"/>
          <w:bottom w:w="0" w:type="dxa"/>
          <w:right w:w="0" w:type="dxa"/>
        </w:tblCellMar>
      </w:tblPr>
      <w:tblGrid>
        <w:gridCol w:w="2941"/>
        <w:gridCol w:w="346"/>
        <w:gridCol w:w="1096"/>
        <w:gridCol w:w="346"/>
        <w:gridCol w:w="99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67535" cy="175260"/>
                      <wp:effectExtent l="0" t="0" r="0" b="0"/>
                      <wp:wrapNone/>
                      <wp:docPr id="116" name="Frame11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5960" cy="175260"/>
                      <wp:effectExtent l="0" t="0" r="0" b="0"/>
                      <wp:wrapNone/>
                      <wp:docPr id="118" name="Frame11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29285" cy="175260"/>
                      <wp:effectExtent l="0" t="0" r="0" b="0"/>
                      <wp:wrapNone/>
                      <wp:docPr id="120" name="Frame12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Unlisted equity investments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 investments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21,816</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listed equity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22,084</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13,647</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15,097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6" w:name="Tc_eqqBYV6wZkaK-1MQFh6WTQ_8_0"/>
      <w:bookmarkStart w:id="937" w:name="Tc_-dhiKnpipkajkdnyfI9wNw_7_4"/>
      <w:bookmarkStart w:id="938" w:name="Tc_jiDhi5hQCEald_sgWh25tA_7_2"/>
      <w:bookmarkStart w:id="939" w:name="Tc_wHjRghFF9ECmlLidWHthcg_7_0"/>
      <w:bookmarkStart w:id="940" w:name="Tc_XRfyvJTCnkSTBRfSCtHe4A_6_0"/>
      <w:bookmarkStart w:id="941" w:name="Tc_VXZt_GdL2k-6sGYDor5fQA_5_0"/>
      <w:bookmarkStart w:id="942" w:name="Tc_x5c2x3hi7EGrXVxggYD_Eg_4_4"/>
      <w:bookmarkStart w:id="943" w:name="Tc_CNOZ61FjKEOb2RxtHNdIkw_4_2"/>
      <w:bookmarkStart w:id="944" w:name="Tc_6k2xGNXVYUuWtBo2JgV33A_3_4"/>
      <w:bookmarkStart w:id="945" w:name="Tc_JqTmOuzy90G6mS1KcbVDIA_3_2"/>
      <w:bookmarkStart w:id="946" w:name="Tc_u27C1o6UOUm3FY9Ux3eHww_2_4"/>
      <w:bookmarkStart w:id="947" w:name="Tc_hq5xle_dzEyV6OSyP7HK3g_2_2"/>
      <w:bookmarkStart w:id="948" w:name="Tc_eeVBoC0YxEaR9WKb7ls70A_1_4"/>
      <w:bookmarkStart w:id="949" w:name="Tc_hG-_l9lJCEifanL3N3mmrw_1_2"/>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r>
        <w:rPr>
          <w:rFonts w:ascii="Times New Roman;Times;serif" w:hAnsi="Times New Roman;Times;serif"/>
          <w:b/>
          <w:i w:val="false"/>
          <w:caps w:val="false"/>
          <w:smallCaps w:val="false"/>
          <w:sz w:val="20"/>
        </w:rPr>
        <w:t>10.</w:t>
      </w:r>
      <w:r>
        <w:rPr>
          <w:rFonts w:ascii="Times New Roman;Times;serif" w:hAnsi="Times New Roman;Times;serif"/>
          <w:b/>
          <w:sz w:val="20"/>
        </w:rPr>
        <w:t>Crypto assets loan receivables</w:t>
      </w:r>
    </w:p>
    <w:p>
      <w:pPr>
        <w:pStyle w:val="TextBody"/>
        <w:bidi w:val="0"/>
        <w:spacing w:before="0" w:after="0"/>
        <w:ind w:left="0" w:right="0" w:hanging="0"/>
        <w:jc w:val="left"/>
        <w:rPr/>
      </w:pPr>
      <w:r>
        <w:rPr/>
        <w:t>​</w:t>
      </w:r>
    </w:p>
    <w:tbl>
      <w:tblPr>
        <w:tblW w:w="5435" w:type="dxa"/>
        <w:jc w:val="left"/>
        <w:tblInd w:w="0" w:type="dxa"/>
        <w:tblLayout w:type="fixed"/>
        <w:tblCellMar>
          <w:top w:w="0" w:type="dxa"/>
          <w:left w:w="0" w:type="dxa"/>
          <w:bottom w:w="0" w:type="dxa"/>
          <w:right w:w="0" w:type="dxa"/>
        </w:tblCellMar>
      </w:tblPr>
      <w:tblGrid>
        <w:gridCol w:w="2656"/>
        <w:gridCol w:w="346"/>
        <w:gridCol w:w="1096"/>
        <w:gridCol w:w="346"/>
        <w:gridCol w:w="9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86560" cy="175260"/>
                      <wp:effectExtent l="0" t="0" r="0" b="0"/>
                      <wp:wrapNone/>
                      <wp:docPr id="121" name="Frame12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5960" cy="175260"/>
                      <wp:effectExtent l="0" t="0" r="0" b="0"/>
                      <wp:wrapNone/>
                      <wp:docPr id="123" name="Frame12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29285" cy="175260"/>
                      <wp:effectExtent l="0" t="0" r="0" b="0"/>
                      <wp:wrapNone/>
                      <wp:docPr id="125" name="Frame12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balance</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42,057</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59,650</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changes</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(1,862)</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of credit losses</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carrying amount</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42,141</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57,788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950" w:name="Tc_I4j2bx9fhEO38ltUHotRmA_9_0"/>
      <w:bookmarkStart w:id="951" w:name="Tc_zgrL3ZSapUWqcyZjDayE7A_8_0"/>
      <w:bookmarkStart w:id="952" w:name="Tc_KS15h3eVlUu-9kslsYdpuA_7_0"/>
      <w:bookmarkStart w:id="953" w:name="Tc_GWcttyheWUix9kXKYesNTw_6_0"/>
      <w:bookmarkStart w:id="954" w:name="Tc_ByLfEfq1BkG6rMgCnno7Cg_5_0"/>
      <w:bookmarkStart w:id="955" w:name="Tc_0OutOZML-kCjWIm9klFwLQ_4_4"/>
      <w:bookmarkStart w:id="956" w:name="Tc_6HJdqnVYgEy1Jq-REr3AfA_4_2"/>
      <w:bookmarkStart w:id="957" w:name="Tc_c-sMvR1B3ESBi-GxpFlesQ_3_4"/>
      <w:bookmarkStart w:id="958" w:name="Tc_SNUq2ptJ5EadhYxjm2cX1g_3_2"/>
      <w:bookmarkStart w:id="959" w:name="Tc_w2ZHlNrGiUmN8TR3thY_ng_2_4"/>
      <w:bookmarkStart w:id="960" w:name="Tc_GTCvt_Th20uVG2vyBh1M5w_2_2"/>
      <w:bookmarkStart w:id="961" w:name="Tc_GS030bbhykS-IkciN1bz5A_1_4"/>
      <w:bookmarkStart w:id="962" w:name="Tc_ya7G_Fni00OJ3mClLi4Omw_1_2"/>
      <w:bookmarkStart w:id="963" w:name="_a5b3b03d_8486_458a_9ccd_50674be8cf3e"/>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r>
        <w:rPr>
          <w:rFonts w:ascii="Times New Roman;Times;serif" w:hAnsi="Times New Roman;Times;serif"/>
          <w:b/>
          <w:i w:val="false"/>
          <w:caps w:val="false"/>
          <w:smallCaps w:val="false"/>
          <w:sz w:val="20"/>
        </w:rPr>
        <w:t>10.</w:t>
      </w:r>
      <w:r>
        <w:rPr>
          <w:rFonts w:ascii="Times New Roman;Times;serif" w:hAnsi="Times New Roman;Times;serif"/>
          <w:b/>
          <w:sz w:val="20"/>
        </w:rPr>
        <w:t>Crypto assets loan receivables (Continued)</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Crypto assets loan receivables are denominated in the following cryptocurrencies:</w:t>
      </w:r>
    </w:p>
    <w:p>
      <w:pPr>
        <w:pStyle w:val="TextBody"/>
        <w:bidi w:val="0"/>
        <w:spacing w:before="0" w:after="0"/>
        <w:ind w:left="0" w:right="0" w:hanging="0"/>
        <w:jc w:val="left"/>
        <w:rPr/>
      </w:pPr>
      <w:r>
        <w:rPr/>
        <w:t>​</w:t>
      </w:r>
    </w:p>
    <w:tbl>
      <w:tblPr>
        <w:tblW w:w="3935" w:type="dxa"/>
        <w:jc w:val="left"/>
        <w:tblInd w:w="0" w:type="dxa"/>
        <w:tblLayout w:type="fixed"/>
        <w:tblCellMar>
          <w:top w:w="0" w:type="dxa"/>
          <w:left w:w="0" w:type="dxa"/>
          <w:bottom w:w="0" w:type="dxa"/>
          <w:right w:w="0" w:type="dxa"/>
        </w:tblCellMar>
      </w:tblPr>
      <w:tblGrid>
        <w:gridCol w:w="1156"/>
        <w:gridCol w:w="346"/>
        <w:gridCol w:w="1096"/>
        <w:gridCol w:w="346"/>
        <w:gridCol w:w="991"/>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34060" cy="175260"/>
                      <wp:effectExtent l="0" t="0" r="0" b="0"/>
                      <wp:wrapNone/>
                      <wp:docPr id="126" name="Frame12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5960" cy="175260"/>
                      <wp:effectExtent l="0" t="0" r="0" b="0"/>
                      <wp:wrapNone/>
                      <wp:docPr id="128" name="Frame12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29285" cy="175260"/>
                      <wp:effectExtent l="0" t="0" r="0" b="0"/>
                      <wp:wrapNone/>
                      <wp:docPr id="130" name="Frame13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18,162</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8,562</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5,421</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USDS (Note)</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6,412</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13,848</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18,034</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42,141</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57,788</w:t>
            </w:r>
          </w:p>
        </w:tc>
      </w:tr>
    </w:tbl>
    <w:p>
      <w:pPr>
        <w:pStyle w:val="TextBody"/>
        <w:bidi w:val="0"/>
        <w:spacing w:before="0" w:after="240"/>
        <w:ind w:left="0" w:right="0" w:hanging="0"/>
        <w:jc w:val="both"/>
        <w:rPr/>
      </w:pPr>
      <w:r>
        <w:rPr/>
        <w:t>​</w:t>
      </w:r>
    </w:p>
    <w:p>
      <w:pPr>
        <w:pStyle w:val="TextBody"/>
        <w:bidi w:val="0"/>
        <w:spacing w:before="0" w:after="10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USDS is a cryptographic blockchain-based digital information unit token issued by the Group and only used in Group’s platform. Each USDS is equivalent to US$1.</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964" w:name="Tc_0kpuZ-RUXk-6u2Zp5H7D-Q_15_4"/>
      <w:bookmarkStart w:id="965" w:name="Tc_YKkG55iGsk6rGBMDRqhdhA_15_0"/>
      <w:bookmarkStart w:id="966" w:name="Tc_cktxQxxWW0Sbh5DJn_DovQ_14_10"/>
      <w:bookmarkStart w:id="967" w:name="Tc_M5KWDA2SyE6ncEoyOVrwEA_14_8"/>
      <w:bookmarkStart w:id="968" w:name="Tc_uEc5zSaILEOPj7nu6ZNSuw_14_6"/>
      <w:bookmarkStart w:id="969" w:name="Tc_xDUB-nPDYUWPZrbN0MJGZQ_14_4"/>
      <w:bookmarkStart w:id="970" w:name="Tc_hBP22BpxIkqtJhhzptGoFw_14_0"/>
      <w:bookmarkStart w:id="971" w:name="Tc_vFCl3zagyk-v7IttfZ-b1A_13_10"/>
      <w:bookmarkStart w:id="972" w:name="Tc_kz5Kc6p6D0W6PCzUi8AT-g_13_4"/>
      <w:bookmarkStart w:id="973" w:name="Tc_lZynXw4lFEuKkIa_o_qnZw_13_0"/>
      <w:bookmarkStart w:id="974" w:name="Tc_uAoYfGHvy0-qwSUMScYNQQ_12_10"/>
      <w:bookmarkStart w:id="975" w:name="Tc_nrC5GAejeUiUpwUV_-mfYQ_12_8"/>
      <w:bookmarkStart w:id="976" w:name="Tc_p7SH9ickk0aEsrFDNnPT8g_12_6"/>
      <w:bookmarkStart w:id="977" w:name="Tc_O9KNBhLcS06NQileSRa6Kg_12_4"/>
      <w:bookmarkStart w:id="978" w:name="Tc_oRJl8PaSQkmm8Y9-sY_n1w_12_0"/>
      <w:bookmarkStart w:id="979" w:name="Tc_dNVPXzt1mU28DX_h7QKP5w_11_4"/>
      <w:bookmarkStart w:id="980" w:name="Tc_wXUmso7sNkW-WLh1SpYeSA_11_0"/>
      <w:bookmarkStart w:id="981" w:name="Tc_Zt9J5jI4NU-xyXh9dFwHKg_10_0"/>
      <w:bookmarkStart w:id="982" w:name="Tc_Rde1d65L302UkE9Xcgfaiw_8_4"/>
      <w:bookmarkStart w:id="983" w:name="Tc_b2Tdovqa5Eyo03--VQ-uUA_8_0"/>
      <w:bookmarkStart w:id="984" w:name="Tc_OLUvxLTwUkqQ6N8YqajLEg_7_10"/>
      <w:bookmarkStart w:id="985" w:name="Tc_V7G0JkxINUKlatXW0S8duw_7_4"/>
      <w:bookmarkStart w:id="986" w:name="Tc_Bq7ky9LWbk2grWs1Ncf5lw_7_0"/>
      <w:bookmarkStart w:id="987" w:name="Tc_uUqX_5GmbkCusxRIyBv8jQ_6_8"/>
      <w:bookmarkStart w:id="988" w:name="Tc_TRl0ZOrmE0qpUAYRb57ypw_6_6"/>
      <w:bookmarkStart w:id="989" w:name="Tc_SdUBq8OZ9kmQaMIZLtu9Hw_6_4"/>
      <w:bookmarkStart w:id="990" w:name="Tc_q7_xy373Y0umoWRDKYBKow_6_0"/>
      <w:bookmarkStart w:id="991" w:name="Tc_Wav_JwZcuUqL4b7yHf6U7A_5_4"/>
      <w:bookmarkStart w:id="992" w:name="Tc_bnGlcIma2E2xbHGD-IJqHw_5_0"/>
      <w:bookmarkStart w:id="993" w:name="Tc_u_8OsrA-MUmvrzfHkgQV9g_4_8"/>
      <w:bookmarkStart w:id="994" w:name="Tc_3HRwiIJgfUmDBBwqKR5V0A_4_6"/>
      <w:bookmarkStart w:id="995" w:name="Tc_DcqRq0jAnUawIeVfMkLZ-Q_4_4"/>
      <w:bookmarkStart w:id="996" w:name="Tc_cK9pjgZMFEekaMQG0JkHDQ_4_0"/>
      <w:bookmarkStart w:id="997" w:name="Tc_7wj-3EUHXE-U7rLJyj4Ecg_3_0"/>
      <w:bookmarkStart w:id="998" w:name="Tc_wnAn6DN8pUiHEfRIGPWqIg_2_12"/>
      <w:bookmarkStart w:id="999" w:name="Tc_2TWe2jZT9EmpmFp6qKjG-w_2_10"/>
      <w:bookmarkStart w:id="1000" w:name="Tc_AabiF1iWBU6vTHwvvF5OkA_2_8"/>
      <w:bookmarkStart w:id="1001" w:name="Tc_vAEAhkAWQkGyfPj6pVpIDw_2_6"/>
      <w:bookmarkStart w:id="1002" w:name="Tc_lz_1Zs6XJ0eJ-RabasoMnA_2_4"/>
      <w:bookmarkStart w:id="1003" w:name="Tc_K9o8-Rg7bUCO4Hiy2KQ_oA_2_2"/>
      <w:bookmarkStart w:id="1004" w:name="Tc_243yFZinb0CpXwyypRAfJQ_1_8"/>
      <w:bookmarkStart w:id="1005" w:name="Tc_IPzcgvAc20GkR3r1AePlZA_1_6"/>
      <w:bookmarkStart w:id="1006" w:name="Tc_46ZBL-a8NkacbcN8b-855g_1_2"/>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r>
        <w:rPr>
          <w:rFonts w:ascii="Times New Roman;Times;serif" w:hAnsi="Times New Roman;Times;serif"/>
          <w:b/>
          <w:i w:val="false"/>
          <w:caps w:val="false"/>
          <w:smallCaps w:val="false"/>
          <w:sz w:val="20"/>
        </w:rPr>
        <w:t>11.</w:t>
      </w:r>
      <w:r>
        <w:rPr>
          <w:rFonts w:ascii="Times New Roman;Times;serif" w:hAnsi="Times New Roman;Times;serif"/>
          <w:b/>
          <w:sz w:val="20"/>
        </w:rPr>
        <w:t>Intangible assets and goodwill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8"/>
        <w:gridCol w:w="346"/>
        <w:gridCol w:w="841"/>
        <w:gridCol w:w="346"/>
        <w:gridCol w:w="931"/>
        <w:gridCol w:w="346"/>
        <w:gridCol w:w="571"/>
        <w:gridCol w:w="346"/>
        <w:gridCol w:w="961"/>
        <w:gridCol w:w="346"/>
        <w:gridCol w:w="766"/>
        <w:gridCol w:w="346"/>
        <w:gridCol w:w="781"/>
      </w:tblGrid>
      <w:tr>
        <w:trPr/>
        <w:tc>
          <w:tcPr>
            <w:tcW w:w="3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81530" cy="175260"/>
                      <wp:effectExtent l="0" t="0" r="0" b="0"/>
                      <wp:wrapNone/>
                      <wp:docPr id="131" name="Frame131"/>
                      <a:graphic xmlns:a="http://schemas.openxmlformats.org/drawingml/2006/main">
                        <a:graphicData uri="http://schemas.microsoft.com/office/word/2010/wordprocessingShape">
                          <wps:wsp>
                            <wps:cNvSpPr txBox="1"/>
                            <wps:spPr>
                              <a:xfrm>
                                <a:off x="0" y="0"/>
                                <a:ext cx="2081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34035" cy="175260"/>
                      <wp:effectExtent l="0" t="0" r="0" b="0"/>
                      <wp:wrapNone/>
                      <wp:docPr id="133" name="Frame13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91185" cy="175260"/>
                      <wp:effectExtent l="0" t="0" r="0" b="0"/>
                      <wp:wrapNone/>
                      <wp:docPr id="135" name="Frame1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62585" cy="175260"/>
                      <wp:effectExtent l="0" t="0" r="0" b="0"/>
                      <wp:wrapNone/>
                      <wp:docPr id="137" name="Frame1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10235" cy="175260"/>
                      <wp:effectExtent l="0" t="0" r="0" b="0"/>
                      <wp:wrapNone/>
                      <wp:docPr id="139" name="Frame13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86410" cy="175260"/>
                      <wp:effectExtent l="0" t="0" r="0" b="0"/>
                      <wp:wrapNone/>
                      <wp:docPr id="141" name="Frame1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95935" cy="175260"/>
                      <wp:effectExtent l="0" t="0" r="0" b="0"/>
                      <wp:wrapNone/>
                      <wp:docPr id="143" name="Frame1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Computer</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Brand</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r>
      <w:tr>
        <w:trPr/>
        <w:tc>
          <w:tcPr>
            <w:tcW w:w="32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Trademark</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w:t>
            </w:r>
          </w:p>
        </w:tc>
        <w:tc>
          <w:tcPr>
            <w:tcW w:w="346"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Goodwill</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six-month ended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beginning of the period</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16,735</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16,895</w:t>
            </w:r>
          </w:p>
        </w:tc>
      </w:tr>
      <w:tr>
        <w:trPr/>
        <w:tc>
          <w:tcPr>
            <w:tcW w:w="3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39,648</w:t>
            </w:r>
          </w:p>
        </w:tc>
      </w:tr>
      <w:tr>
        <w:trPr/>
        <w:tc>
          <w:tcPr>
            <w:tcW w:w="3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3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r>
      <w:tr>
        <w:trPr/>
        <w:tc>
          <w:tcPr>
            <w:tcW w:w="3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end of the period (unaudited)</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w:t>
            </w:r>
          </w:p>
        </w:tc>
        <w:tc>
          <w:tcPr>
            <w:tcW w:w="346" w:type="dxa"/>
            <w:tcBorders/>
            <w:vAlign w:val="center"/>
          </w:tcPr>
          <w:p>
            <w:pPr>
              <w:pStyle w:val="TableContents"/>
              <w:bidi w:val="0"/>
              <w:spacing w:before="0" w:after="0"/>
              <w:ind w:left="0" w:right="0" w:hanging="0"/>
              <w:jc w:val="righ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53,136</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56,316</w:t>
            </w:r>
          </w:p>
        </w:tc>
      </w:tr>
      <w:tr>
        <w:trPr/>
        <w:tc>
          <w:tcPr>
            <w:tcW w:w="327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27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six-month ended June 30, 2026</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3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beginning of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56,085</w:t>
            </w:r>
          </w:p>
        </w:tc>
      </w:tr>
      <w:tr>
        <w:trPr/>
        <w:tc>
          <w:tcPr>
            <w:tcW w:w="3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3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32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exchange difference</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2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end of the period (unaudited)</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w:t>
            </w:r>
          </w:p>
        </w:tc>
        <w:tc>
          <w:tcPr>
            <w:tcW w:w="346"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55,856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b/>
          <w:sz w:val="20"/>
        </w:rPr>
      </w:pPr>
      <w:bookmarkStart w:id="1007" w:name="Tc_8WQwoGWnjUeeIVneHCYvbg_16_0"/>
      <w:bookmarkStart w:id="1008" w:name="Tc_wrc4YhynJEuRYfjikkT2XQ_15_0"/>
      <w:bookmarkStart w:id="1009" w:name="Tc_sQZ0mrGv4UywT6NtYQsdcw_12_0"/>
      <w:bookmarkStart w:id="1010" w:name="Tc_OYd_cY2MeUyHvRaO7S4Uqw_11_0"/>
      <w:bookmarkStart w:id="1011" w:name="Tc_LIEW4VVQfkOB-mqq_A7ohw_10_0"/>
      <w:bookmarkStart w:id="1012" w:name="Tc_s4YmwL8Vbkex8GQ_3E4QHQ_9_0"/>
      <w:bookmarkStart w:id="1013" w:name="Tc_f2-O3kiwNEKwHYj8k2OVTg_8_4"/>
      <w:bookmarkStart w:id="1014" w:name="Tc_aGNzWA6C6kC4eVHigG7rCA_8_0"/>
      <w:bookmarkStart w:id="1015" w:name="Tc_sBOB2GBhVU2kCLEHyl4COg_7_0"/>
      <w:bookmarkStart w:id="1016" w:name="Tc_NLeKXcQGqEm-xRxq5o6dtw_6_0"/>
      <w:bookmarkStart w:id="1017" w:name="Tc_C7mCcKcOME6n5gs8tgqv6g_5_0"/>
      <w:bookmarkStart w:id="1018" w:name="Tc_4beYcL12DUKGlyBOFQuE3g_4_4"/>
      <w:bookmarkStart w:id="1019" w:name="Tc_35DpRzTV1kKo3aUf8STzzw_4_2"/>
      <w:bookmarkStart w:id="1020" w:name="Tc_J05ckTpt70eemjtOmxjdKw_3_4"/>
      <w:bookmarkStart w:id="1021" w:name="Tc_omE4gCl30kC-KjBIBZaUMQ_3_2"/>
      <w:bookmarkStart w:id="1022" w:name="Tc_7zHazHhF4U6BrdJHlBVRqQ_2_4"/>
      <w:bookmarkStart w:id="1023" w:name="Tc_iDByMPirZUW5K3rRzRTSew_2_2"/>
      <w:bookmarkStart w:id="1024" w:name="Tc_HxaSa2cfp0OhQcnw_74q6w_1_4"/>
      <w:bookmarkStart w:id="1025" w:name="Tc_lsz-SHdVb0S36aW6hxoKOQ_1_2"/>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Times New Roman;Times;serif" w:hAnsi="Times New Roman;Times;serif"/>
          <w:b/>
          <w:i w:val="false"/>
          <w:caps w:val="false"/>
          <w:smallCaps w:val="false"/>
          <w:sz w:val="20"/>
        </w:rPr>
        <w:t>12.</w:t>
      </w:r>
      <w:r>
        <w:rPr>
          <w:rFonts w:ascii="Times New Roman;Times;serif" w:hAnsi="Times New Roman;Times;serif"/>
          <w:b/>
          <w:sz w:val="20"/>
        </w:rPr>
        <w:t>Trade and other payables</w:t>
      </w:r>
    </w:p>
    <w:p>
      <w:pPr>
        <w:pStyle w:val="TextBody"/>
        <w:bidi w:val="0"/>
        <w:spacing w:before="0" w:after="0"/>
        <w:ind w:left="0" w:right="0" w:hanging="0"/>
        <w:jc w:val="left"/>
        <w:rPr/>
      </w:pPr>
      <w:r>
        <w:rPr/>
        <w:t>​</w:t>
      </w:r>
    </w:p>
    <w:tbl>
      <w:tblPr>
        <w:tblW w:w="6230" w:type="dxa"/>
        <w:jc w:val="left"/>
        <w:tblInd w:w="0" w:type="dxa"/>
        <w:tblLayout w:type="fixed"/>
        <w:tblCellMar>
          <w:top w:w="0" w:type="dxa"/>
          <w:left w:w="0" w:type="dxa"/>
          <w:bottom w:w="0" w:type="dxa"/>
          <w:right w:w="0" w:type="dxa"/>
        </w:tblCellMar>
      </w:tblPr>
      <w:tblGrid>
        <w:gridCol w:w="3451"/>
        <w:gridCol w:w="346"/>
        <w:gridCol w:w="1096"/>
        <w:gridCol w:w="346"/>
        <w:gridCol w:w="99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1385" cy="175260"/>
                      <wp:effectExtent l="0" t="0" r="0" b="0"/>
                      <wp:wrapNone/>
                      <wp:docPr id="144" name="Frame14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5960" cy="175260"/>
                      <wp:effectExtent l="0" t="0" r="0" b="0"/>
                      <wp:wrapNone/>
                      <wp:docPr id="146" name="Frame14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29285" cy="175260"/>
                      <wp:effectExtent l="0" t="0" r="0" b="0"/>
                      <wp:wrapNone/>
                      <wp:docPr id="148" name="Frame14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and other taxes payables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deposit received from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benefits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5,296</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11,192</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6" w:name="Tc_Q4PLwGa_iEyOrnoc2YbAPg_7_0"/>
      <w:bookmarkStart w:id="1027" w:name="Tc_IlqMQ5CoJUCzaexy-CDWqQ_6_0"/>
      <w:bookmarkStart w:id="1028" w:name="Tc_mFRkMw5fukCon5KFTJfnlA_5_0"/>
      <w:bookmarkStart w:id="1029" w:name="Tc_KAOZOmPCG0aJgJRNqlXk7w_4_4"/>
      <w:bookmarkStart w:id="1030" w:name="Tc_71TK2_23rUS9fVJzlOeo3g_4_2"/>
      <w:bookmarkStart w:id="1031" w:name="Tc_JHh8DvLh90iJusE-fgdI4w_3_4"/>
      <w:bookmarkStart w:id="1032" w:name="Tc_5wcthOfNDEehXnYxCFXHrA_3_2"/>
      <w:bookmarkStart w:id="1033" w:name="Tc_w3HMLSOTmEagU72iB5WK5g_2_4"/>
      <w:bookmarkStart w:id="1034" w:name="Tc_2oPa08d5E0KVgbPt9mXtqg_2_2"/>
      <w:bookmarkStart w:id="1035" w:name="Tc_VsbXYTPbgk2Jvd2Muw2sLw_1_4"/>
      <w:bookmarkStart w:id="1036" w:name="Tc_VSgJlDo3H0yaAtyvz8-Eqw_1_2"/>
      <w:bookmarkEnd w:id="1026"/>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b/>
          <w:i w:val="false"/>
          <w:caps w:val="false"/>
          <w:smallCaps w:val="false"/>
          <w:sz w:val="20"/>
        </w:rPr>
        <w:t>13.</w:t>
      </w:r>
      <w:r>
        <w:rPr>
          <w:rFonts w:ascii="Times New Roman;Times;serif" w:hAnsi="Times New Roman;Times;serif"/>
          <w:b/>
          <w:sz w:val="20"/>
        </w:rPr>
        <w:t>Liabilities due to customers</w:t>
      </w:r>
    </w:p>
    <w:p>
      <w:pPr>
        <w:pStyle w:val="TextBody"/>
        <w:bidi w:val="0"/>
        <w:spacing w:before="0" w:after="0"/>
        <w:ind w:left="0" w:right="0" w:hanging="0"/>
        <w:jc w:val="left"/>
        <w:rPr/>
      </w:pPr>
      <w:r>
        <w:rPr/>
        <w:t>​</w:t>
      </w:r>
    </w:p>
    <w:tbl>
      <w:tblPr>
        <w:tblW w:w="4490" w:type="dxa"/>
        <w:jc w:val="left"/>
        <w:tblInd w:w="0" w:type="dxa"/>
        <w:tblLayout w:type="fixed"/>
        <w:tblCellMar>
          <w:top w:w="0" w:type="dxa"/>
          <w:left w:w="0" w:type="dxa"/>
          <w:bottom w:w="0" w:type="dxa"/>
          <w:right w:w="0" w:type="dxa"/>
        </w:tblCellMar>
      </w:tblPr>
      <w:tblGrid>
        <w:gridCol w:w="1711"/>
        <w:gridCol w:w="346"/>
        <w:gridCol w:w="1096"/>
        <w:gridCol w:w="346"/>
        <w:gridCol w:w="99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086485" cy="175260"/>
                      <wp:effectExtent l="0" t="0" r="0" b="0"/>
                      <wp:wrapNone/>
                      <wp:docPr id="149" name="Frame149"/>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5960" cy="175260"/>
                      <wp:effectExtent l="0" t="0" r="0" b="0"/>
                      <wp:wrapNone/>
                      <wp:docPr id="151" name="Frame15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29285" cy="175260"/>
                      <wp:effectExtent l="0" t="0" r="0" b="0"/>
                      <wp:wrapNone/>
                      <wp:docPr id="153" name="Frame15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Structured products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44,797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34,683</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 investments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16,133</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14,667</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61,351</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49,624</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Liabilities due to customers mainly related to proceeds received from customers who purchased cryptocurrency-denominated products, which represent fixed/variable interest cryptocurrency deposited on the “Amber Premium SG” platform operated by the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These deposits are not protected by any insurance and are unsecured. The cryptocurrency-denominated products are structured products, which consist of (i) structured products without option element, and (ii) structured products with option element.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In addition to the cryptocurrency-denominated products described above, liabilities due to customers also include funds deposited by customers for which the Group acts as a nominee in making fund investments on behalf of its customers. Although the Group acts in a nominee capacity, management has determined that the Group controls the related fund investments as they are held in the name of the Group. These investments are presented as “Fund Investments” in Note 9 and are measured at fair value through profit or loss. The investment term does not exceed one year. Correspondingly, these customer liabilities have been designated at fair value through profit or loss, with changes in fair value recognized in profit or loss to eliminate an accounting mismatch that would otherwise arise from measuring the related fund investments at fair value.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Segment information</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chief operating decision-maker (“CODM”) regularly reviews financial results, allocates resources to and assesses the performance of each of the following reportable segments:</w:t>
      </w:r>
    </w:p>
    <w:p>
      <w:pPr>
        <w:pStyle w:val="TextBody"/>
        <w:bidi w:val="0"/>
        <w:spacing w:before="0" w:after="0"/>
        <w:ind w:left="720" w:right="0" w:hanging="0"/>
        <w:jc w:val="both"/>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b/>
          <w:sz w:val="20"/>
        </w:rPr>
        <w:t>Digital Assets Services and Solutions</w:t>
      </w:r>
      <w:r>
        <w:rPr>
          <w:rFonts w:ascii="Times New Roman;Times;serif" w:hAnsi="Times New Roman;Times;serif"/>
          <w:sz w:val="20"/>
        </w:rPr>
        <w:t xml:space="preserve"> — development of digital asset platform and provision of digital asset service and solutions.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b/>
          <w:sz w:val="20"/>
        </w:rPr>
        <w:t>Marketing and Enterprise Solutions</w:t>
      </w:r>
      <w:r>
        <w:rPr>
          <w:rFonts w:ascii="Times New Roman;Times;serif" w:hAnsi="Times New Roman;Times;serif"/>
          <w:sz w:val="20"/>
        </w:rPr>
        <w:t xml:space="preserve"> — provision of AI-driven online advertising services and provision of digitalized operational solutions.</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To align with the Company’s latest business strategy and focus on the on-going AI adoption, the Company introduced a new revenue grouping, Agentic Revenue, comprising the new revenue stream through Agentic Market Making (“A-MM”) and the existing revenues generated from Marketing and Enterprise Solutions (formerly known as Online Advertising and SaaS Solutions) segment to better reflect the evolution of its AI-enabled business model.</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037" w:name="Tc_p8VmV2sSnUWS1XnRA1DRDg_23_6"/>
      <w:bookmarkStart w:id="1038" w:name="Tc_vz-1D7arnEujWbC-MYdPaA_23_2"/>
      <w:bookmarkStart w:id="1039" w:name="Tc_TOFBMZ81q06O9xISi--_Bw_23_0"/>
      <w:bookmarkStart w:id="1040" w:name="Tc_YKAfM8uouEWZVFG-f4ncgg_22_6"/>
      <w:bookmarkStart w:id="1041" w:name="Tc_IHXqHxWgk0eACz1RdbBB-g_22_2"/>
      <w:bookmarkStart w:id="1042" w:name="Tc_SO4-8miHtECaqmOQnYHyKA_22_0"/>
      <w:bookmarkStart w:id="1043" w:name="Tc_mj2wCPcG3ECUJ4VR0aCtMw_21_6"/>
      <w:bookmarkStart w:id="1044" w:name="Tc_70Hux9Ey2U696dlL-JWRXg_21_0"/>
      <w:bookmarkStart w:id="1045" w:name="Tc_16BaSjclzEa5IHUpHwwArQ_20_6"/>
      <w:bookmarkStart w:id="1046" w:name="Tc_aJsK_Ca5ykq2mT8nb2jIiw_20_0"/>
      <w:bookmarkStart w:id="1047" w:name="Tc_ETHrI0bGaUGXv0VXWwplvw_19_6"/>
      <w:bookmarkStart w:id="1048" w:name="Tc_RHGuiuuIWEOTBOmcLpvBNA_19_0"/>
      <w:bookmarkStart w:id="1049" w:name="Tc_N68zEkIC3EGqe5WnZf11og_18_0"/>
      <w:bookmarkStart w:id="1050" w:name="Tc_63V1MOAqGkC5nA5tv6S4rQ_16_0"/>
      <w:bookmarkStart w:id="1051" w:name="Tc_PA1dkdXCzECr92uKeHhH7A_14_6"/>
      <w:bookmarkStart w:id="1052" w:name="Tc_bOYJx-eITUmK1z83k5ZSOQ_14_0"/>
      <w:bookmarkStart w:id="1053" w:name="Tc_rfm9o6e_1kOk7JBtuhjM1g_12_6"/>
      <w:bookmarkStart w:id="1054" w:name="Tc_fJRkg1zge02vxksOvpDUqw_12_2"/>
      <w:bookmarkStart w:id="1055" w:name="Tc_aYTA7r8x7kK4syFG-4F4xQ_12_0"/>
      <w:bookmarkStart w:id="1056" w:name="Tc_ESUSizorH0ammNPSkeDmfg_10_6"/>
      <w:bookmarkStart w:id="1057" w:name="Tc_v3VrgIwbpEOb8cLYeiNRWA_10_4"/>
      <w:bookmarkStart w:id="1058" w:name="Tc_irq6PG86akCPGqFR8WCVHA_9_6"/>
      <w:bookmarkStart w:id="1059" w:name="Tc_jA309dLea0ugU3orfA8Xiw_9_4"/>
      <w:bookmarkStart w:id="1060" w:name="Tc_2UqBr05-pkaNbjJrnVG8tA_9_0"/>
      <w:bookmarkStart w:id="1061" w:name="Tc_RwC0Xoc0JE-Lz1yb7OIn4Q_8_6"/>
      <w:bookmarkStart w:id="1062" w:name="Tc_U0Z2EZxF20udkjwCM8Szmw_8_4"/>
      <w:bookmarkStart w:id="1063" w:name="Tc_pItZzPVHR0iszDujsc56Aw_8_0"/>
      <w:bookmarkStart w:id="1064" w:name="Tc_8VjrrIB0qEKiOouZcu8ohg_7_6"/>
      <w:bookmarkStart w:id="1065" w:name="Tc_PV0yMrGQtkuvnLvEQP4o1g_7_4"/>
      <w:bookmarkStart w:id="1066" w:name="Tc_bIx6KD5HqEWAfXBH0bQeRw_7_0"/>
      <w:bookmarkStart w:id="1067" w:name="Tc_JLBaaux_JkK2JwBpcECkaQ_6_0"/>
      <w:bookmarkStart w:id="1068" w:name="Tc_EC2IphdSUkSfaV7Bzj32sg_5_8"/>
      <w:bookmarkStart w:id="1069" w:name="Tc_gPUw4FFO_UOX5LBmO16iVA_5_6"/>
      <w:bookmarkStart w:id="1070" w:name="Tc_kOX9Tfe4E0KN-pnJzl0NTA_5_4"/>
      <w:bookmarkStart w:id="1071" w:name="Tc_zhzej6icGU-0QgWJs2IjPw_5_2"/>
      <w:bookmarkStart w:id="1072" w:name="Tc__iNN4RH5c0mEHO2Jvlrtrw_4_4"/>
      <w:bookmarkStart w:id="1073" w:name="Tc_Q1kXIjUMkUqsOspjzzt1Kg_4_2"/>
      <w:bookmarkStart w:id="1074" w:name="Tc_tiiisM-glk62zMJ8RK0Z8A_3_4"/>
      <w:bookmarkStart w:id="1075" w:name="Tc_RO_yX-phYkesKy6iJgVlrQ_3_2"/>
      <w:bookmarkStart w:id="1076" w:name="Tc_Z5Rr97IA70KPKT8Z_Znr_A_2_2"/>
      <w:bookmarkStart w:id="1077" w:name="Tc_97Fdbt_w50GkKnbmsLXU0A_1_2"/>
      <w:bookmarkStart w:id="1078" w:name="_4645365c_32b9_4386_bf31_d2dbb864110a"/>
      <w:bookmarkStart w:id="1079" w:name="Tc_NIGIzOy990uXYiL6CFLE0w_23_6"/>
      <w:bookmarkStart w:id="1080" w:name="Tc_xKsLCZSXAUWhbucPcZFkJA_23_2"/>
      <w:bookmarkStart w:id="1081" w:name="Tc_u9E6GOrUiUCzGO8JtCLKbg_23_0"/>
      <w:bookmarkStart w:id="1082" w:name="Tc_zEFIwfap2USfK--FOusXbw_22_6"/>
      <w:bookmarkStart w:id="1083" w:name="Tc_swBrI4Qvy0a8fD8LyLM0pw_22_2"/>
      <w:bookmarkStart w:id="1084" w:name="Tc_1cwbdhTXI0acU9UEW2FkPw_22_0"/>
      <w:bookmarkStart w:id="1085" w:name="Tc_bPZPp7DTAUKaZOHD2dCuUw_21_6"/>
      <w:bookmarkStart w:id="1086" w:name="Tc_TUbEno-1NEeqAZ193wyoqQ_21_0"/>
      <w:bookmarkStart w:id="1087" w:name="Tc_G4wpqXNm-kufSjNJv48MBQ_20_6"/>
      <w:bookmarkStart w:id="1088" w:name="Tc_wMgWjsngXk6lmGRNrFh79Q_20_0"/>
      <w:bookmarkStart w:id="1089" w:name="Tc_MWzfwB5AdUO6hH1iCfKVeA_19_6"/>
      <w:bookmarkStart w:id="1090" w:name="Tc_3Oxo76vV4UmXPjmLgcCpCg_19_0"/>
      <w:bookmarkStart w:id="1091" w:name="Tc_FS_oquN7WkqIUFBtqIhe1Q_18_0"/>
      <w:bookmarkStart w:id="1092" w:name="Tc_qhj3yDv3rUumOHkLgY8_kw_16_0"/>
      <w:bookmarkStart w:id="1093" w:name="Tc_kTk75j6NT0uw38vN5muigQ_14_6"/>
      <w:bookmarkStart w:id="1094" w:name="Tc_LAmA9b1aiUKwod30ewo0Sg_14_0"/>
      <w:bookmarkStart w:id="1095" w:name="Tc_9dmErMJE4UKBkRnh_tNGcQ_12_6"/>
      <w:bookmarkStart w:id="1096" w:name="Tc_ANbsgaMe0kmOLjOPOBJpDg_12_0"/>
      <w:bookmarkStart w:id="1097" w:name="Tc_VJquSQ8krEe5Ldt2xvyRWA_10_6"/>
      <w:bookmarkStart w:id="1098" w:name="Tc_gDdTH1wXGkWaG-wnLD2s2Q_10_4"/>
      <w:bookmarkStart w:id="1099" w:name="Tc_UcK6hsqRc0a-g71ejsu-SQ_9_6"/>
      <w:bookmarkStart w:id="1100" w:name="Tc_ywG_Bz4EZE6nDtjoWmS-Fw_9_4"/>
      <w:bookmarkStart w:id="1101" w:name="Tc_Uv4-THbzREeLSc7emYyZEw_9_0"/>
      <w:bookmarkStart w:id="1102" w:name="Tc_E62qxuHkXk6ctf7uoy543g_8_6"/>
      <w:bookmarkStart w:id="1103" w:name="Tc_WOuTcNPo2E-SzbjmSut48Q_8_4"/>
      <w:bookmarkStart w:id="1104" w:name="Tc_Z7mQayvYgkeCA8YwwI_Ivw_8_0"/>
      <w:bookmarkStart w:id="1105" w:name="Tc_2IQlY2RIV0meqTifRWGG_Q_7_6"/>
      <w:bookmarkStart w:id="1106" w:name="Tc_wPJe92mQbkWm5fvNRfsVCQ_7_4"/>
      <w:bookmarkStart w:id="1107" w:name="Tc__trISNI0k0iH0Pc0CxMmgg_7_0"/>
      <w:bookmarkStart w:id="1108" w:name="Tc_qpwhf8l7cUCnEKsFdf7p3Q_6_0"/>
      <w:bookmarkStart w:id="1109" w:name="Tc_1H_q0nUcNUGlvTHURxkhNA_5_8"/>
      <w:bookmarkStart w:id="1110" w:name="Tc_aLVS8lXMA0qU6ayEdFRyxg_5_6"/>
      <w:bookmarkStart w:id="1111" w:name="Tc_N67-PXQLG0ORe_h473btsg_5_4"/>
      <w:bookmarkStart w:id="1112" w:name="Tc_fAFfz4RNcEWlonZyYJmSvQ_5_2"/>
      <w:bookmarkStart w:id="1113" w:name="Tc_Y4063hGLSkOP9-iIx3IM7g_4_4"/>
      <w:bookmarkStart w:id="1114" w:name="Tc_7K3gmloZ3EutaCqIy6Pvgw_4_2"/>
      <w:bookmarkStart w:id="1115" w:name="Tc_495GMu8TR0GgHxpF2RvLgA_3_4"/>
      <w:bookmarkStart w:id="1116" w:name="Tc_d_O31RmM3EuYqbJbC0g-Rw_3_2"/>
      <w:bookmarkStart w:id="1117" w:name="Tc__FuHNAVNXEGmUskmX9c2Zg_2_2"/>
      <w:bookmarkStart w:id="1118" w:name="Tc_DHaDT_ZBckOZvKNzG60SNg_1_2"/>
      <w:bookmarkStart w:id="1119" w:name="_36de4e65_1d89_4017_b6a7_5b4307eaeb6f"/>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r>
        <w:rPr>
          <w:rFonts w:ascii="Times New Roman;Times;serif" w:hAnsi="Times New Roman;Times;serif"/>
          <w:b/>
          <w:i w:val="false"/>
          <w:caps w:val="false"/>
          <w:smallCaps w:val="false"/>
          <w:sz w:val="20"/>
        </w:rPr>
        <w:t>14.</w:t>
      </w:r>
      <w:r>
        <w:rPr>
          <w:rFonts w:ascii="Times New Roman;Times;serif" w:hAnsi="Times New Roman;Times;serif"/>
          <w:b/>
          <w:sz w:val="20"/>
        </w:rPr>
        <w:t>Segment information (Continued)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presentation of reportable operating segments has been revised, and accordingly the comparative figures of such reportable segments have been restated, as the management believes that the information regarding such restated segments would be useful to the users of these condensed consolidated interim financial statements.</w:t>
      </w:r>
    </w:p>
    <w:p>
      <w:pPr>
        <w:pStyle w:val="TextBody"/>
        <w:bidi w:val="0"/>
        <w:spacing w:before="0" w:after="0"/>
        <w:ind w:left="720" w:right="0" w:hanging="0"/>
        <w:jc w:val="both"/>
        <w:rPr/>
      </w:pPr>
      <w:r>
        <w:rPr/>
        <w:t>​</w:t>
      </w:r>
    </w:p>
    <w:tbl>
      <w:tblPr>
        <w:tblW w:w="8619" w:type="dxa"/>
        <w:jc w:val="left"/>
        <w:tblInd w:w="0" w:type="dxa"/>
        <w:tblLayout w:type="fixed"/>
        <w:tblCellMar>
          <w:top w:w="0" w:type="dxa"/>
          <w:left w:w="0" w:type="dxa"/>
          <w:bottom w:w="0" w:type="dxa"/>
          <w:right w:w="0" w:type="dxa"/>
        </w:tblCellMar>
      </w:tblPr>
      <w:tblGrid>
        <w:gridCol w:w="3256"/>
        <w:gridCol w:w="346"/>
        <w:gridCol w:w="1081"/>
        <w:gridCol w:w="346"/>
        <w:gridCol w:w="1186"/>
        <w:gridCol w:w="346"/>
        <w:gridCol w:w="976"/>
        <w:gridCol w:w="346"/>
        <w:gridCol w:w="73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67560" cy="175260"/>
                      <wp:effectExtent l="0" t="0" r="0" b="0"/>
                      <wp:wrapNone/>
                      <wp:docPr id="154" name="Frame154"/>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86435" cy="175260"/>
                      <wp:effectExtent l="0" t="0" r="0" b="0"/>
                      <wp:wrapNone/>
                      <wp:docPr id="156" name="Frame15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53110" cy="175260"/>
                      <wp:effectExtent l="0" t="0" r="0" b="0"/>
                      <wp:wrapNone/>
                      <wp:docPr id="158" name="Frame15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19760" cy="175260"/>
                      <wp:effectExtent l="0" t="0" r="0" b="0"/>
                      <wp:wrapNone/>
                      <wp:docPr id="160" name="Frame16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67360" cy="175260"/>
                      <wp:effectExtent l="0" t="0" r="0" b="0"/>
                      <wp:wrapNone/>
                      <wp:docPr id="162" name="Frame16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1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0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 June 30, 2026</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Digital Assets</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Marketing and</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Enterprise</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Solutions</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platform revenue:</w:t>
            </w:r>
          </w:p>
        </w:tc>
        <w:tc>
          <w:tcPr>
            <w:tcW w:w="346"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1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Wealth management solutions</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9,569</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9,569</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Execution solutions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solutions</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r>
      <w:tr>
        <w:trPr/>
        <w:tc>
          <w:tcPr>
            <w:tcW w:w="3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12,255</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12,255</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Agentic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11,694</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segment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15,780</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23,949</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operating loss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(658)</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(1,120)</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(2,157)</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profit or loss information:</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w:t>
      </w:r>
    </w:p>
    <w:tbl>
      <w:tblPr>
        <w:tblW w:w="8604" w:type="dxa"/>
        <w:jc w:val="left"/>
        <w:tblInd w:w="0" w:type="dxa"/>
        <w:tblLayout w:type="fixed"/>
        <w:tblCellMar>
          <w:top w:w="0" w:type="dxa"/>
          <w:left w:w="0" w:type="dxa"/>
          <w:bottom w:w="0" w:type="dxa"/>
          <w:right w:w="0" w:type="dxa"/>
        </w:tblCellMar>
      </w:tblPr>
      <w:tblGrid>
        <w:gridCol w:w="3256"/>
        <w:gridCol w:w="346"/>
        <w:gridCol w:w="1081"/>
        <w:gridCol w:w="346"/>
        <w:gridCol w:w="1186"/>
        <w:gridCol w:w="346"/>
        <w:gridCol w:w="976"/>
        <w:gridCol w:w="346"/>
        <w:gridCol w:w="72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67560" cy="175260"/>
                      <wp:effectExtent l="0" t="0" r="0" b="0"/>
                      <wp:wrapNone/>
                      <wp:docPr id="163" name="Frame163"/>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86435" cy="175260"/>
                      <wp:effectExtent l="0" t="0" r="0" b="0"/>
                      <wp:wrapNone/>
                      <wp:docPr id="165" name="Frame165"/>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53110" cy="175260"/>
                      <wp:effectExtent l="0" t="0" r="0" b="0"/>
                      <wp:wrapNone/>
                      <wp:docPr id="167" name="Frame16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19760" cy="175260"/>
                      <wp:effectExtent l="0" t="0" r="0" b="0"/>
                      <wp:wrapNone/>
                      <wp:docPr id="169" name="Frame16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57835" cy="175260"/>
                      <wp:effectExtent l="0" t="0" r="0" b="0"/>
                      <wp:wrapNone/>
                      <wp:docPr id="171" name="Frame17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00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00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 June 30, 2025</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Digital Assets</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Marketing and</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Enterprise</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Solutions</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platform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Wealth management solutions</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21,462</w:t>
            </w:r>
          </w:p>
        </w:tc>
        <w:tc>
          <w:tcPr>
            <w:tcW w:w="346"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21,462</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Execution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c>
          <w:tcPr>
            <w:tcW w:w="346"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solutions</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w:t>
            </w:r>
          </w:p>
        </w:tc>
        <w:tc>
          <w:tcPr>
            <w:tcW w:w="346" w:type="dxa"/>
            <w:tcBorders/>
            <w:vAlign w:val="center"/>
          </w:tcPr>
          <w:p>
            <w:pPr>
              <w:pStyle w:val="TableContents"/>
              <w:bidi w:val="0"/>
              <w:spacing w:before="0" w:after="0"/>
              <w:ind w:left="0" w:right="0" w:hanging="0"/>
              <w:jc w:val="righ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w:t>
            </w:r>
          </w:p>
        </w:tc>
      </w:tr>
      <w:tr>
        <w:trPr/>
        <w:tc>
          <w:tcPr>
            <w:tcW w:w="3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27,801</w:t>
            </w:r>
          </w:p>
        </w:tc>
        <w:tc>
          <w:tcPr>
            <w:tcW w:w="346" w:type="dxa"/>
            <w:tcBorders/>
            <w:shd w:fill="CCEEFF" w:val="clear"/>
            <w:vAlign w:val="center"/>
          </w:tcPr>
          <w:p>
            <w:pPr>
              <w:pStyle w:val="TableContents"/>
              <w:bidi w:val="0"/>
              <w:spacing w:before="0" w:after="0"/>
              <w:ind w:left="0" w:right="0" w:hanging="0"/>
              <w:jc w:val="righ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27,801</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Agentic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5,654</w:t>
            </w:r>
          </w:p>
        </w:tc>
        <w:tc>
          <w:tcPr>
            <w:tcW w:w="34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5,654</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segment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27,801</w:t>
            </w:r>
          </w:p>
        </w:tc>
        <w:tc>
          <w:tcPr>
            <w:tcW w:w="346" w:type="dxa"/>
            <w:tcBorders/>
            <w:shd w:fill="CCEEFF" w:val="clear"/>
            <w:vAlign w:val="center"/>
          </w:tcPr>
          <w:p>
            <w:pPr>
              <w:pStyle w:val="TableContents"/>
              <w:bidi w:val="0"/>
              <w:spacing w:before="0" w:after="0"/>
              <w:ind w:left="0" w:right="0" w:hanging="0"/>
              <w:jc w:val="righ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5,654</w:t>
            </w:r>
          </w:p>
        </w:tc>
        <w:tc>
          <w:tcPr>
            <w:tcW w:w="346" w:type="dxa"/>
            <w:tcBorders/>
            <w:shd w:fill="CCEEFF" w:val="clear"/>
            <w:vAlign w:val="center"/>
          </w:tcPr>
          <w:p>
            <w:pPr>
              <w:pStyle w:val="TableContents"/>
              <w:bidi w:val="0"/>
              <w:spacing w:before="0" w:after="0"/>
              <w:ind w:left="0" w:right="0" w:hanging="0"/>
              <w:jc w:val="righ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33,455</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operating profit/(loss)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3,967</w:t>
            </w:r>
          </w:p>
        </w:tc>
        <w:tc>
          <w:tcPr>
            <w:tcW w:w="346" w:type="dxa"/>
            <w:tcBorders/>
            <w:shd w:fill="CCEEFF" w:val="clear"/>
            <w:vAlign w:val="center"/>
          </w:tcPr>
          <w:p>
            <w:pPr>
              <w:pStyle w:val="TableContents"/>
              <w:bidi w:val="0"/>
              <w:spacing w:before="0" w:after="0"/>
              <w:ind w:left="0" w:right="0" w:hanging="0"/>
              <w:jc w:val="righ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w:t>
            </w:r>
          </w:p>
        </w:tc>
        <w:tc>
          <w:tcPr>
            <w:tcW w:w="346" w:type="dxa"/>
            <w:tcBorders/>
            <w:shd w:fill="CCEEFF" w:val="clear"/>
            <w:vAlign w:val="center"/>
          </w:tcPr>
          <w:p>
            <w:pPr>
              <w:pStyle w:val="TableContents"/>
              <w:bidi w:val="0"/>
              <w:spacing w:before="0" w:after="0"/>
              <w:ind w:left="0" w:right="0" w:hanging="0"/>
              <w:jc w:val="righ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(3,813)</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profit or loss information:</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0" w:after="0"/>
              <w:ind w:left="0" w:right="0" w:hanging="0"/>
              <w:jc w:val="righ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righ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righ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righ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20" w:name="Tc_bxde6zWbC0yESPP9T5f6UQ_22_0"/>
      <w:bookmarkStart w:id="1121" w:name="Tc_0t3Lgq1PykmYI8Wz-9p1aw_21_0"/>
      <w:bookmarkStart w:id="1122" w:name="Tc_HP_XZ4mTckmdzAYrtNOXFg_20_0"/>
      <w:bookmarkStart w:id="1123" w:name="Tc_RucGuVL5lUSlZnnXSIysug_19_0"/>
      <w:bookmarkStart w:id="1124" w:name="Tc_IakwGcQjyE6Exy950Bc0ag_17_0"/>
      <w:bookmarkStart w:id="1125" w:name="Tc_0MWiNFo3FEavsDBobPwJyw_16_0"/>
      <w:bookmarkStart w:id="1126" w:name="Tc_7jgdj8XPfkWSP-gsFmPjJA_15_0"/>
      <w:bookmarkStart w:id="1127" w:name="Tc_1ybnZxKyjUaKyMX8cgMCUg_14_0"/>
      <w:bookmarkStart w:id="1128" w:name="Tc_v5j06zTfL0iKzlAWD5IVhg_12_0"/>
      <w:bookmarkStart w:id="1129" w:name="Tc_5FouGF8cbUmEIbTQazuQcA_11_0"/>
      <w:bookmarkStart w:id="1130" w:name="Tc_swV2-YHDB0W3FU7M65ilAg_10_0"/>
      <w:bookmarkStart w:id="1131" w:name="Tc_91eNhOucRkOGZMnUqipaMw_9_0"/>
      <w:bookmarkStart w:id="1132" w:name="Tc_33qDiIUKGkmwQTFcxQrc9w_7_0"/>
      <w:bookmarkStart w:id="1133" w:name="Tc_5nVNJrm4G0-3djpnU6AhqQ_6_0"/>
      <w:bookmarkStart w:id="1134" w:name="Tc_ErH8kb-ETECqHcxPwgLE-Q_5_0"/>
      <w:bookmarkStart w:id="1135" w:name="Tc_uEgqu_suE0mJpR8DEypOFg_4_0"/>
      <w:bookmarkStart w:id="1136" w:name="Tc_CQ3qlSDor0mq_7_7tWjRJw_3_4"/>
      <w:bookmarkStart w:id="1137" w:name="Tc_PlSfTmEw4USJw0Ej4AM3ig_3_2"/>
      <w:bookmarkStart w:id="1138" w:name="Tc_AZswCbj8K0K6_CV6_VILiQ_2_4"/>
      <w:bookmarkStart w:id="1139" w:name="Tc_7VCzchLINU-PjgwtA2Eh2A_2_2"/>
      <w:bookmarkStart w:id="1140" w:name="Tc_PHY6JvY2Nk-LrWepMXglmA_1_4"/>
      <w:bookmarkStart w:id="1141" w:name="Tc_8R_EYYfHG0yiuuv9jecZuQ_1_2"/>
      <w:bookmarkStart w:id="1142" w:name="Tc_buqO1q8XM06yV5sCepCA_A_9_0"/>
      <w:bookmarkStart w:id="1143" w:name="Tc_LtYSUTicB0W3Cq7OytWXGw_8_0"/>
      <w:bookmarkStart w:id="1144" w:name="Tc_3CXV4exBTE2n_zInajnkCw_7_0"/>
      <w:bookmarkStart w:id="1145" w:name="Tc_qb1NW2CFmkGerUgOt8JzSw_6_0"/>
      <w:bookmarkStart w:id="1146" w:name="Tc_rgk5bhNWNEGF6YpMASkaHQ_5_0"/>
      <w:bookmarkStart w:id="1147" w:name="Tc_NKwLf8_Pa0q3FOTeplGdow_4_4"/>
      <w:bookmarkStart w:id="1148" w:name="Tc_yH9QOPhOBUKaSUuve9cvNg_4_2"/>
      <w:bookmarkStart w:id="1149" w:name="Tc_y9KjACYxn0qQEwQJVczxtg_3_4"/>
      <w:bookmarkStart w:id="1150" w:name="Tc_YL_pV7BFzU-7Q0MijQhFgw_3_2"/>
      <w:bookmarkStart w:id="1151" w:name="Tc_zFs-K0KqX0i8vrVxndQ_Ug_2_2"/>
      <w:bookmarkStart w:id="1152" w:name="Tc_zKKFnZXAok-XvK58LyJGBg_1_2"/>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ascii="Times New Roman;Times;serif" w:hAnsi="Times New Roman;Times;serif"/>
          <w:b/>
          <w:i w:val="false"/>
          <w:caps w:val="false"/>
          <w:smallCaps w:val="false"/>
          <w:sz w:val="20"/>
        </w:rPr>
        <w:t>14.</w:t>
      </w:r>
      <w:r>
        <w:rPr>
          <w:rFonts w:ascii="Times New Roman;Times;serif" w:hAnsi="Times New Roman;Times;serif"/>
          <w:b/>
          <w:sz w:val="20"/>
        </w:rPr>
        <w:t>Segment information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breaks down revenue by geographic location of the Group’s revenue. The geographical location is based on the geographical location where customers are located.</w:t>
      </w:r>
    </w:p>
    <w:p>
      <w:pPr>
        <w:pStyle w:val="TextBody"/>
        <w:bidi w:val="0"/>
        <w:spacing w:before="0" w:after="0"/>
        <w:ind w:left="0" w:right="0" w:hanging="0"/>
        <w:jc w:val="left"/>
        <w:rPr/>
      </w:pPr>
      <w:r>
        <w:rPr/>
        <w:t>​</w:t>
      </w:r>
    </w:p>
    <w:tbl>
      <w:tblPr>
        <w:tblW w:w="3935" w:type="dxa"/>
        <w:jc w:val="left"/>
        <w:tblInd w:w="0" w:type="dxa"/>
        <w:tblLayout w:type="fixed"/>
        <w:tblCellMar>
          <w:top w:w="0" w:type="dxa"/>
          <w:left w:w="0" w:type="dxa"/>
          <w:bottom w:w="0" w:type="dxa"/>
          <w:right w:w="0" w:type="dxa"/>
        </w:tblCellMar>
      </w:tblPr>
      <w:tblGrid>
        <w:gridCol w:w="1306"/>
        <w:gridCol w:w="346"/>
        <w:gridCol w:w="946"/>
        <w:gridCol w:w="346"/>
        <w:gridCol w:w="99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829310" cy="175260"/>
                      <wp:effectExtent l="0" t="0" r="0" b="0"/>
                      <wp:wrapNone/>
                      <wp:docPr id="172" name="Frame17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00710" cy="175260"/>
                      <wp:effectExtent l="0" t="0" r="0" b="0"/>
                      <wp:wrapNone/>
                      <wp:docPr id="174" name="Frame17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29285" cy="175260"/>
                      <wp:effectExtent l="0" t="0" r="0" b="0"/>
                      <wp:wrapNone/>
                      <wp:docPr id="176" name="Frame17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1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1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46" w:type="dxa"/>
            <w:tcBorders/>
            <w:shd w:fill="CCEEFF" w:val="clear"/>
            <w:vAlign w:val="center"/>
          </w:tcPr>
          <w:p>
            <w:pPr>
              <w:pStyle w:val="TableContents"/>
              <w:bidi w:val="0"/>
              <w:spacing w:before="0" w:after="0"/>
              <w:ind w:left="0" w:right="0" w:hanging="0"/>
              <w:jc w:val="center"/>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6,715</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12,065</w:t>
            </w:r>
          </w:p>
        </w:tc>
        <w:tc>
          <w:tcPr>
            <w:tcW w:w="34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12,070</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Africa</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14,639</w:t>
            </w:r>
          </w:p>
        </w:tc>
        <w:tc>
          <w:tcPr>
            <w:tcW w:w="346" w:type="dxa"/>
            <w:tcBorders/>
            <w:shd w:fill="CCEEFF" w:val="clear"/>
            <w:vAlign w:val="center"/>
          </w:tcPr>
          <w:p>
            <w:pPr>
              <w:pStyle w:val="TableContents"/>
              <w:bidi w:val="0"/>
              <w:spacing w:before="0" w:after="0"/>
              <w:ind w:left="0" w:right="0" w:hanging="0"/>
              <w:jc w:val="righ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righ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33,455</w:t>
            </w:r>
          </w:p>
        </w:tc>
        <w:tc>
          <w:tcPr>
            <w:tcW w:w="346" w:type="dxa"/>
            <w:tcBorders/>
            <w:vAlign w:val="center"/>
          </w:tcPr>
          <w:p>
            <w:pPr>
              <w:pStyle w:val="TableContents"/>
              <w:bidi w:val="0"/>
              <w:spacing w:before="0" w:after="0"/>
              <w:ind w:left="0" w:right="0" w:hanging="0"/>
              <w:jc w:val="righ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23,949</w:t>
            </w:r>
          </w:p>
        </w:tc>
      </w:tr>
    </w:tbl>
    <w:p>
      <w:pPr>
        <w:pStyle w:val="TextBody"/>
        <w:bidi w:val="0"/>
        <w:spacing w:before="0" w:after="0"/>
        <w:ind w:left="0" w:right="0" w:hanging="0"/>
        <w:jc w:val="left"/>
        <w:rPr/>
      </w:pPr>
      <w:r>
        <w:rPr/>
        <w:t>​</w:t>
      </w:r>
    </w:p>
    <w:tbl>
      <w:tblPr>
        <w:tblW w:w="9560" w:type="dxa"/>
        <w:jc w:val="left"/>
        <w:tblInd w:w="0" w:type="dxa"/>
        <w:tblLayout w:type="fixed"/>
        <w:tblCellMar>
          <w:top w:w="0" w:type="dxa"/>
          <w:left w:w="0" w:type="dxa"/>
          <w:bottom w:w="0" w:type="dxa"/>
          <w:right w:w="0" w:type="dxa"/>
        </w:tblCellMar>
      </w:tblPr>
      <w:tblGrid>
        <w:gridCol w:w="6886"/>
        <w:gridCol w:w="346"/>
        <w:gridCol w:w="1096"/>
        <w:gridCol w:w="346"/>
        <w:gridCol w:w="886"/>
      </w:tblGrid>
      <w:tr>
        <w:trPr/>
        <w:tc>
          <w:tcPr>
            <w:tcW w:w="6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372610" cy="175260"/>
                      <wp:effectExtent l="0" t="0" r="0" b="0"/>
                      <wp:wrapNone/>
                      <wp:docPr id="177" name="Frame177"/>
                      <a:graphic xmlns:a="http://schemas.openxmlformats.org/drawingml/2006/main">
                        <a:graphicData uri="http://schemas.microsoft.com/office/word/2010/wordprocessingShape">
                          <wps:wsp>
                            <wps:cNvSpPr txBox="1"/>
                            <wps:spPr>
                              <a:xfrm>
                                <a:off x="0" y="0"/>
                                <a:ext cx="437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5960" cy="175260"/>
                      <wp:effectExtent l="0" t="0" r="0" b="0"/>
                      <wp:wrapNone/>
                      <wp:docPr id="179" name="Frame17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62610" cy="175260"/>
                      <wp:effectExtent l="0" t="0" r="0" b="0"/>
                      <wp:wrapNone/>
                      <wp:docPr id="181" name="Frame1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Segment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Services and Solution</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167,574</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215,053</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Enterprise Solutions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75,267</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69,877</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segment assets</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242,841</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284,930</w:t>
            </w:r>
          </w:p>
        </w:tc>
      </w:tr>
      <w:tr>
        <w:trPr/>
        <w:tc>
          <w:tcPr>
            <w:tcW w:w="6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eliminations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(6,087)</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items</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19,608</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16,314</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as per the condensed consolidated statement of financial position</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256,379</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298,048</w:t>
            </w:r>
          </w:p>
        </w:tc>
      </w:tr>
      <w:tr>
        <w:trPr/>
        <w:tc>
          <w:tcPr>
            <w:tcW w:w="6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Segment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Services and Solution</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132,379</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180,329</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Enterprise Solutions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16,235</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segment liabilities</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150,375</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196,564</w:t>
            </w:r>
          </w:p>
        </w:tc>
      </w:tr>
      <w:tr>
        <w:trPr/>
        <w:tc>
          <w:tcPr>
            <w:tcW w:w="6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eliminations</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(6,085)</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r>
      <w:tr>
        <w:trPr/>
        <w:tc>
          <w:tcPr>
            <w:tcW w:w="6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items</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6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as per the condensed consolidated statement of financial position</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146,067</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195,227</w:t>
            </w:r>
          </w:p>
        </w:tc>
      </w:tr>
    </w:tbl>
    <w:p>
      <w:pPr>
        <w:pStyle w:val="TextBody"/>
        <w:bidi w:val="0"/>
        <w:spacing w:before="0" w:after="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53" w:name="Tc_C1iDWiJk30-67BeL-xmBrw_12_0"/>
      <w:bookmarkStart w:id="1154" w:name="Tc_WGEM7aQwT0aLurwj4gguvQ_11_0"/>
      <w:bookmarkStart w:id="1155" w:name="Tc_sjbIZ8TtiEC--KfqCT8ZXg_10_0"/>
      <w:bookmarkStart w:id="1156" w:name="Tc_7on0Cli_vECXHuFBdAGLsg_9_0"/>
      <w:bookmarkStart w:id="1157" w:name="Tc_C553qbqA2ES87OQh4ficwA_8_0"/>
      <w:bookmarkStart w:id="1158" w:name="Tc_xtW8C6je20iR4QD_d8F0rw_7_0"/>
      <w:bookmarkStart w:id="1159" w:name="Tc_qdYQsxX5sUCaIuZ20GhQ8Q_6_0"/>
      <w:bookmarkStart w:id="1160" w:name="Tc_JWbjaNK160WxhNhtobjQ6g_5_0"/>
      <w:bookmarkStart w:id="1161" w:name="Tc_dpAcq4aF5ESSC54USAG4Pw_4_4"/>
      <w:bookmarkStart w:id="1162" w:name="Tc_L9kIjBfp3kOCZG4PMsJLjg_4_2"/>
      <w:bookmarkStart w:id="1163" w:name="Tc_s-PRZhnrvE2HoPp4TE0kbg_3_4"/>
      <w:bookmarkStart w:id="1164" w:name="Tc_ljH6ZwWbo0eKNRt_L7xb2w_3_2"/>
      <w:bookmarkStart w:id="1165" w:name="Tc_v72kd62A5k2hayqDDjZxPw_2_2"/>
      <w:bookmarkStart w:id="1166" w:name="Tc_JJ-7m1WhDk2QjL3DcTMKLw_1_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r>
        <w:rPr>
          <w:rFonts w:ascii="Times New Roman;Times;serif" w:hAnsi="Times New Roman;Times;serif"/>
          <w:b/>
          <w:i w:val="false"/>
          <w:caps w:val="false"/>
          <w:smallCaps w:val="false"/>
          <w:sz w:val="20"/>
        </w:rPr>
        <w:t>15.</w:t>
      </w:r>
      <w:r>
        <w:rPr>
          <w:rFonts w:ascii="Times New Roman;Times;serif" w:hAnsi="Times New Roman;Times;serif"/>
          <w:b/>
          <w:sz w:val="20"/>
        </w:rPr>
        <w:t>Profit/(loss) for the period</w:t>
      </w:r>
    </w:p>
    <w:p>
      <w:pPr>
        <w:pStyle w:val="TextBody"/>
        <w:bidi w:val="0"/>
        <w:spacing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3106"/>
        <w:gridCol w:w="346"/>
        <w:gridCol w:w="946"/>
        <w:gridCol w:w="346"/>
        <w:gridCol w:w="99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972310" cy="175260"/>
                      <wp:effectExtent l="0" t="0" r="0" b="0"/>
                      <wp:wrapNone/>
                      <wp:docPr id="182" name="Frame182"/>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00710" cy="175260"/>
                      <wp:effectExtent l="0" t="0" r="0" b="0"/>
                      <wp:wrapNone/>
                      <wp:docPr id="184" name="Frame18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29285" cy="175260"/>
                      <wp:effectExtent l="0" t="0" r="0" b="0"/>
                      <wp:wrapNone/>
                      <wp:docPr id="186" name="Frame18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31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1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Staff costs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13,205</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expenses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7,577</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and professional fees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development expenses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right-of-use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expenses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67" w:name="Tc_DdB-vijuf02H1AZUFnr7Xg_13_0"/>
      <w:bookmarkStart w:id="1168" w:name="Tc_1lRYp6B_E0CDD-nor8tP4w_12_2"/>
      <w:bookmarkStart w:id="1169" w:name="Tc_pyUrSeR38UWkDtA1znkfmQ_12_0"/>
      <w:bookmarkStart w:id="1170" w:name="Tc_YFhCF6cNJkaQupuWup7r3Q_11_2"/>
      <w:bookmarkStart w:id="1171" w:name="Tc_UhIjZHIjSUiYUx7B1mUSYA_11_0"/>
      <w:bookmarkStart w:id="1172" w:name="Tc_wJ5rf8aW0kac74rfs9yfuA_10_4"/>
      <w:bookmarkStart w:id="1173" w:name="Tc_l3o95_-vkE6Kucxj9l-D0Q_10_0"/>
      <w:bookmarkStart w:id="1174" w:name="Tc_Qa8IDSzxAk6_TwPyTAb5gg_9_4"/>
      <w:bookmarkStart w:id="1175" w:name="Tc_RihqIeDzCUykjylUF0MKKA_9_0"/>
      <w:bookmarkStart w:id="1176" w:name="Tc_fc5k-8ZPLkiMB5XYRaVxyg_8_0"/>
      <w:bookmarkStart w:id="1177" w:name="Tc_74fDxMPOAE-U7IodQv0f9Q_7_0"/>
      <w:bookmarkStart w:id="1178" w:name="Tc_3q-OyvRqxEqu_JWCVSKAwQ_6_0"/>
      <w:bookmarkStart w:id="1179" w:name="Tc_mBkejYFB5Ua1wGDlEZe-YA_5_0"/>
      <w:bookmarkStart w:id="1180" w:name="Tc_GgXEZGTwcUCEsBQ1-f7TnA_4_4"/>
      <w:bookmarkStart w:id="1181" w:name="Tc_W7Evy_wdKkmIJZV7IStj8w_4_2"/>
      <w:bookmarkStart w:id="1182" w:name="Tc_kyE90tlD2Ee6PgxWMpT92w_3_4"/>
      <w:bookmarkStart w:id="1183" w:name="Tc_gaVjYGwkc0WmRs8MRZdMvQ_3_2"/>
      <w:bookmarkStart w:id="1184" w:name="Tc_-5n7CuI3q0SGQsIcwy4aJw_2_2"/>
      <w:bookmarkStart w:id="1185" w:name="Tc_DK0BByW8u0Gjf8nKHPJriw_1_2"/>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r>
        <w:rPr>
          <w:rFonts w:ascii="Times New Roman;Times;serif" w:hAnsi="Times New Roman;Times;serif"/>
          <w:b/>
          <w:i w:val="false"/>
          <w:caps w:val="false"/>
          <w:smallCaps w:val="false"/>
          <w:sz w:val="20"/>
        </w:rPr>
        <w:t>16.</w:t>
      </w:r>
      <w:r>
        <w:rPr>
          <w:rFonts w:ascii="Times New Roman;Times;serif" w:hAnsi="Times New Roman;Times;serif"/>
          <w:b/>
          <w:sz w:val="20"/>
        </w:rPr>
        <w:t>Other gains, net</w:t>
      </w:r>
    </w:p>
    <w:p>
      <w:pPr>
        <w:pStyle w:val="TextBody"/>
        <w:bidi w:val="0"/>
        <w:spacing w:before="0" w:after="0"/>
        <w:ind w:left="0" w:right="0" w:hanging="0"/>
        <w:jc w:val="left"/>
        <w:rPr/>
      </w:pPr>
      <w:r>
        <w:rPr/>
        <w:t>​</w:t>
      </w:r>
    </w:p>
    <w:tbl>
      <w:tblPr>
        <w:tblW w:w="8555" w:type="dxa"/>
        <w:jc w:val="left"/>
        <w:tblInd w:w="0" w:type="dxa"/>
        <w:tblLayout w:type="fixed"/>
        <w:tblCellMar>
          <w:top w:w="0" w:type="dxa"/>
          <w:left w:w="0" w:type="dxa"/>
          <w:bottom w:w="0" w:type="dxa"/>
          <w:right w:w="0" w:type="dxa"/>
        </w:tblCellMar>
      </w:tblPr>
      <w:tblGrid>
        <w:gridCol w:w="5926"/>
        <w:gridCol w:w="346"/>
        <w:gridCol w:w="946"/>
        <w:gridCol w:w="346"/>
        <w:gridCol w:w="991"/>
      </w:tblGrid>
      <w:tr>
        <w:trPr/>
        <w:tc>
          <w:tcPr>
            <w:tcW w:w="5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763010" cy="175260"/>
                      <wp:effectExtent l="0" t="0" r="0" b="0"/>
                      <wp:wrapNone/>
                      <wp:docPr id="187" name="Frame187"/>
                      <a:graphic xmlns:a="http://schemas.openxmlformats.org/drawingml/2006/main">
                        <a:graphicData uri="http://schemas.microsoft.com/office/word/2010/wordprocessingShape">
                          <wps:wsp>
                            <wps:cNvSpPr txBox="1"/>
                            <wps:spPr>
                              <a:xfrm>
                                <a:off x="0" y="0"/>
                                <a:ext cx="3763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00710" cy="175260"/>
                      <wp:effectExtent l="0" t="0" r="0" b="0"/>
                      <wp:wrapNone/>
                      <wp:docPr id="189" name="Frame18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29285" cy="175260"/>
                      <wp:effectExtent l="0" t="0" r="0" b="0"/>
                      <wp:wrapNone/>
                      <wp:docPr id="191" name="Frame19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59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9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9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difference, net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 on financial assets at fair value through profit or loss</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 on derivative contracts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ADR reimbursement from depositary bank</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 off of other payables</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34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Dividend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No interim dividend in respect of the six-month ended June 30, 2025 and 2026 has been declared as of the date of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Income tax expenses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Taxation on profits has been calculated on the estimated assessable profits for the period at the rates of taxation prevailing in the countries in which the Group operates respectively.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Singapore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Inland Revenue Authority of Singapore, the Company’s subsidiary incorporated in Singapore is subject to a statutory tax rate of 17% (2025: 17%).</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Hong Kong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Hong Kong Inland Revenue Ordinance, the Company’s subsidiary incorporated in Hong Kong is subject to 16.5% income tax on their taxable income generated from operations in Hong Kong before April 1, 2018. Starting from the financial year commencing on April 1, 2018, the two-tiered profits tax regime took effect, under which the tax rate is 8.25% for assessable profits on the first HK$2 million and 16.5% for any assessable profits in excess of HK$2 million.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Dubai</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Dubai Ministry of Finance, the Company’s subsidiary incorporated in Dubai is subject to UAE corporate tax on their taxable income generated from operations in Dubai. As per Ministry of Finance, corporate rates are 0% for taxable income up to AED375,000 and 9% for taxable income above AED375,000.</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PRC Enterprise Income Tax (“EIT”)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subsidiary, VIE and VIE’s subsidiaries in the PRC are governed by the Enterprise Income Tax Law (“EIT Law”). Pursuant to the EIT Law and its implementation rules, enterprises in the PRC are generally subjected to tax at a statutory rate of 25%.</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Cayman Islands and British Virgin Islands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tax laws of Cayman Islands, Amber International and its subsidiaries are not subject to tax on income or capital gains. Besides, upon payment of dividends by Amber International to its shareholders, no Cayman Islands withholding tax will be imposed.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Amber International’s subsidiaries incorporated in the British Virgin Islands are not subject to income or capital gains taxes, estate duty, inheritance tax or gift tax. In addition, payment of dividends to the shareholders of Amber International’s subsidiaries in the British Virgin Islands are not subject to withholding tax in the British Virgin Islands.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86" w:name="Tc_0DXM7TEPwEuy7Xg7MTYUrw_33_2"/>
      <w:bookmarkStart w:id="1187" w:name="Tc_0ppnzEsXTEKo27dJgPNgTw_33_0"/>
      <w:bookmarkStart w:id="1188" w:name="Tc_GzwWE2PAOU2Pfoq0ww2q8w_32_0"/>
      <w:bookmarkStart w:id="1189" w:name="Tc_KBeANoxCL0yhiMMa8pvRaQ_30_2"/>
      <w:bookmarkStart w:id="1190" w:name="Tc_rWBVnoP1ZkW6-L-L8RWFZA_30_0"/>
      <w:bookmarkStart w:id="1191" w:name="Tc_eMt_xxRYHEazWyipzqPE1w_29_2"/>
      <w:bookmarkStart w:id="1192" w:name="Tc_VE8iyIdqtECJlEqM3vme-A_29_0"/>
      <w:bookmarkStart w:id="1193" w:name="Tc_WlVXb-JKA0m-iYMVQ_2Ovg_28_2"/>
      <w:bookmarkStart w:id="1194" w:name="Tc_PNnaFD2ink2NdM7OTsDb8A_28_0"/>
      <w:bookmarkStart w:id="1195" w:name="Tc_R89h6RHvKUqfmM2Nipq-7A_27_2"/>
      <w:bookmarkStart w:id="1196" w:name="Tc_droThRZT-ECkx2TRxXXqsg_27_0"/>
      <w:bookmarkStart w:id="1197" w:name="Tc_fDgmW7QwqEmXyhUS9_Uneg_26_0"/>
      <w:bookmarkStart w:id="1198" w:name="Tc_03kaywq8706gaE8CodQbYg_24_2"/>
      <w:bookmarkStart w:id="1199" w:name="Tc_HiB2JHpYwk2jnk5AVksbRA_24_0"/>
      <w:bookmarkStart w:id="1200" w:name="Tc__6_kgnUEgEqcaxsuWgPsVw_23_2"/>
      <w:bookmarkStart w:id="1201" w:name="Tc_8N3PNY0jik6fnOJnLFnPzw_23_0"/>
      <w:bookmarkStart w:id="1202" w:name="Tc_gzz1MWPmdkKetVhfZZKSMw_22_2"/>
      <w:bookmarkStart w:id="1203" w:name="Tc_HfIPRd3M206QuO0tlT-bjw_22_0"/>
      <w:bookmarkStart w:id="1204" w:name="Tc_m3eG14WmvU61PS99sJQQ5w_21_0"/>
      <w:bookmarkStart w:id="1205" w:name="Tc_0--oU2eijEO70aZWpNQSeA_20_0"/>
      <w:bookmarkStart w:id="1206" w:name="Tc_Q_lcvmzWWkyieaLt0Vz1mw_19_0"/>
      <w:bookmarkStart w:id="1207" w:name="Tc_fhXX2koeJ0iIJ7_9JqimTQ_17_2"/>
      <w:bookmarkStart w:id="1208" w:name="Tc_6x3ETvBjBkyenzmuehmEAQ_17_0"/>
      <w:bookmarkStart w:id="1209" w:name="Tc_ED_FTx1Nm0er17iJq5k4aQ_16_4"/>
      <w:bookmarkStart w:id="1210" w:name="Tc_BBn073yJEEGj_KjX2M9UaA_16_0"/>
      <w:bookmarkStart w:id="1211" w:name="Tc_jugqJCvGCUie1t7CT5P5Gg_15_2"/>
      <w:bookmarkStart w:id="1212" w:name="Tc_b1CydxboNEWVZYm1XHYTow_15_0"/>
      <w:bookmarkStart w:id="1213" w:name="Tc_xIregMTZok69bB6AGR4d1g_14_0"/>
      <w:bookmarkStart w:id="1214" w:name="Tc_XDNTHn0OdkuJKkUdim6VHw_13_0"/>
      <w:bookmarkStart w:id="1215" w:name="Tc_iV5wCrrIhki68_O4RwxBHw_11_0"/>
      <w:bookmarkStart w:id="1216" w:name="Tc_gYoTylU9_0u-S-LyrYLdog_10_0"/>
      <w:bookmarkStart w:id="1217" w:name="Tc_IuGum0TsWUyR3g6gPmo4Bw_9_0"/>
      <w:bookmarkStart w:id="1218" w:name="Tc_sq-GVBwlZUS8c50vpVysmw_8_0"/>
      <w:bookmarkStart w:id="1219" w:name="Tc_qVO6uIFbsEyw2WiK3-4XBQ_7_2"/>
      <w:bookmarkStart w:id="1220" w:name="Tc_048PLYNLyUO0cjxJ_dxEdg_7_0"/>
      <w:bookmarkStart w:id="1221" w:name="Tc_ko2_9fpadkWqOCOxVgDPWA_6_0"/>
      <w:bookmarkStart w:id="1222" w:name="Tc_F9kH5NoIy0Kc9hQCDQTLCg_5_4"/>
      <w:bookmarkStart w:id="1223" w:name="Tc_3499oeNr6kOulN2l8M2pKg_5_0"/>
      <w:bookmarkStart w:id="1224" w:name="Tc_LcDvwU16ck6HTy-ZTzaR3g_4_0"/>
      <w:bookmarkStart w:id="1225" w:name="Tc_Mh7rRrxezEOfV1UkQbLahQ_3_4"/>
      <w:bookmarkStart w:id="1226" w:name="Tc_a4Xq1d1VSE6q8D95MCFi7Q_3_2"/>
      <w:bookmarkStart w:id="1227" w:name="Tc_NwEFE_1VtEGcl2SL49XXiA_2_2"/>
      <w:bookmarkStart w:id="1228" w:name="Tc_iCZmh76R8U2hdGO0tR0Liw_1_2"/>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Pr>
          <w:rFonts w:ascii="Times New Roman;Times;serif" w:hAnsi="Times New Roman;Times;serif"/>
          <w:b/>
          <w:i w:val="false"/>
          <w:caps w:val="false"/>
          <w:smallCaps w:val="false"/>
          <w:sz w:val="20"/>
        </w:rPr>
        <w:t>19.</w:t>
      </w:r>
      <w:r>
        <w:rPr>
          <w:rFonts w:ascii="Times New Roman;Times;serif" w:hAnsi="Times New Roman;Times;serif"/>
          <w:b/>
          <w:sz w:val="20"/>
        </w:rPr>
        <w:t>Significant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Related party transactions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On June 1, 2026, Amber Global Limited (“AGL”), a former principal shareholder of the Company, distributed all of its holdings of the Company’s Class A ordinary shares to its existing shareholders on a pro rata basis. The share distribution does not involve the issuance of any new shares and is not dilutive to other shareholders.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In addition to the related party information disclosed elsewhere in the condensed consolidated interim financial statements, the following transactions with related parties took place at terms agreed between the parties during the financial periods:</w:t>
      </w:r>
    </w:p>
    <w:p>
      <w:pPr>
        <w:pStyle w:val="TextBody"/>
        <w:bidi w:val="0"/>
        <w:spacing w:before="0" w:after="0"/>
        <w:ind w:left="0" w:right="0" w:hanging="0"/>
        <w:jc w:val="left"/>
        <w:rPr/>
      </w:pPr>
      <w:r>
        <w:rPr/>
        <w:t>​</w:t>
      </w:r>
    </w:p>
    <w:tbl>
      <w:tblPr>
        <w:tblW w:w="5986" w:type="dxa"/>
        <w:jc w:val="left"/>
        <w:tblInd w:w="0" w:type="dxa"/>
        <w:tblLayout w:type="fixed"/>
        <w:tblCellMar>
          <w:top w:w="0" w:type="dxa"/>
          <w:left w:w="0" w:type="dxa"/>
          <w:bottom w:w="0" w:type="dxa"/>
          <w:right w:w="0" w:type="dxa"/>
        </w:tblCellMar>
      </w:tblPr>
      <w:tblGrid>
        <w:gridCol w:w="3721"/>
        <w:gridCol w:w="346"/>
        <w:gridCol w:w="792"/>
        <w:gridCol w:w="405"/>
        <w:gridCol w:w="722"/>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362835" cy="175260"/>
                      <wp:effectExtent l="0" t="0" r="0" b="0"/>
                      <wp:wrapNone/>
                      <wp:docPr id="192" name="Frame192"/>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02920" cy="175260"/>
                      <wp:effectExtent l="0" t="0" r="0" b="0"/>
                      <wp:wrapNone/>
                      <wp:docPr id="194" name="Frame194"/>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57175" cy="175260"/>
                      <wp:effectExtent l="0" t="0" r="0" b="0"/>
                      <wp:wrapNone/>
                      <wp:docPr id="195" name="Frame19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58470" cy="175260"/>
                      <wp:effectExtent l="0" t="0" r="0" b="0"/>
                      <wp:wrapNone/>
                      <wp:docPr id="196" name="Frame196"/>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1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1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5" w:type="dxa"/>
            <w:tcBorders/>
            <w:vAlign w:val="center"/>
          </w:tcPr>
          <w:p>
            <w:pPr>
              <w:pStyle w:val="TableContents"/>
              <w:bidi w:val="0"/>
              <w:spacing w:before="0" w:after="0"/>
              <w:ind w:left="0" w:right="0" w:hanging="0"/>
              <w:jc w:val="left"/>
              <w:rPr/>
            </w:pPr>
            <w:r>
              <w:rPr/>
              <w:t>  ​ ​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generated from:</w:t>
            </w:r>
          </w:p>
        </w:tc>
        <w:tc>
          <w:tcPr>
            <w:tcW w:w="346" w:type="dxa"/>
            <w:tcBorders/>
            <w:shd w:fill="CCEEFF" w:val="clear"/>
            <w:vAlign w:val="center"/>
          </w:tcPr>
          <w:p>
            <w:pPr>
              <w:pStyle w:val="TableContents"/>
              <w:bidi w:val="0"/>
              <w:spacing w:before="0" w:after="0"/>
              <w:ind w:left="0" w:right="0" w:hanging="0"/>
              <w:jc w:val="center"/>
              <w:rPr/>
            </w:pPr>
            <w:r>
              <w:rPr/>
              <w:t>​</w:t>
            </w:r>
          </w:p>
        </w:tc>
        <w:tc>
          <w:tcPr>
            <w:tcW w:w="792" w:type="dxa"/>
            <w:tcBorders/>
            <w:shd w:fill="CCEEFF" w:val="clear"/>
            <w:vAlign w:val="center"/>
          </w:tcPr>
          <w:p>
            <w:pPr>
              <w:pStyle w:val="TableContents"/>
              <w:bidi w:val="0"/>
              <w:spacing w:before="0" w:after="0"/>
              <w:ind w:left="0" w:right="0" w:hanging="0"/>
              <w:jc w:val="center"/>
              <w:rPr/>
            </w:pPr>
            <w:r>
              <w:rPr/>
              <w:t>  ​</w:t>
            </w:r>
          </w:p>
        </w:tc>
        <w:tc>
          <w:tcPr>
            <w:tcW w:w="405" w:type="dxa"/>
            <w:tcBorders/>
            <w:shd w:fill="CCEEFF" w:val="clear"/>
            <w:vAlign w:val="center"/>
          </w:tcPr>
          <w:p>
            <w:pPr>
              <w:pStyle w:val="TableContents"/>
              <w:bidi w:val="0"/>
              <w:spacing w:before="0" w:after="0"/>
              <w:ind w:left="0" w:right="0" w:hanging="0"/>
              <w:jc w:val="center"/>
              <w:rPr/>
            </w:pPr>
            <w:r>
              <w:rPr/>
              <w:t>​</w:t>
            </w:r>
          </w:p>
        </w:tc>
        <w:tc>
          <w:tcPr>
            <w:tcW w:w="722" w:type="dxa"/>
            <w:tcBorders/>
            <w:shd w:fill="CCEEFF" w:val="clear"/>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15,074</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7,296</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 Global Technology Limited Inc.</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Proton Fund SPC</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Axiom AI Limited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Rigsec Technology Holding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Gamma Digital Limited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 to:</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  ​</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  ​</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ALIR Holding Limited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 Global Technology Limited Inc.</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w:t>
            </w:r>
          </w:p>
        </w:tc>
      </w:tr>
      <w:tr>
        <w:trPr/>
        <w:tc>
          <w:tcPr>
            <w:tcW w:w="3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income from:</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  ​</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  ​</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WhaleFin Markets Limited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Axiom AI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AAC Global Holding Limited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ALIR Holding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Outsourcing/support services provided by:</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North America Ltd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AI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AI Services Limited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AM Limited</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fee to:</w:t>
            </w:r>
          </w:p>
        </w:tc>
        <w:tc>
          <w:tcPr>
            <w:tcW w:w="34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Rigsec Technology Limited</w:t>
            </w:r>
          </w:p>
        </w:tc>
        <w:tc>
          <w:tcPr>
            <w:tcW w:w="34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180</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CONDENSED CONSOLIDATED INTERIM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229" w:name="Tc_IfEvpLs6XEO-mZIkj2I_wA_7_4"/>
      <w:bookmarkStart w:id="1230" w:name="Tc_MpZzMW_7q02FAamk19Uo-Q_7_2"/>
      <w:bookmarkStart w:id="1231" w:name="Tc_4wkJ_6llwkCLobRDP1X8LQ_7_0"/>
      <w:bookmarkStart w:id="1232" w:name="Tc_6XJu4CvTHEa6iB4BmXYN4A_6_0"/>
      <w:bookmarkStart w:id="1233" w:name="Tc_hlYqqoju90u5J6YX5fPh2w_5_0"/>
      <w:bookmarkStart w:id="1234" w:name="Tc_reT7zM3GQkOOSa1PD-d8yQ_4_4"/>
      <w:bookmarkStart w:id="1235" w:name="Tc_OdWuBgy5PUii0AfhLPn0yQ_4_2"/>
      <w:bookmarkStart w:id="1236" w:name="Tc_DhvMIleTaEmA7w6SWL_mrQ_4_0"/>
      <w:bookmarkStart w:id="1237" w:name="Tc_Pkc8aS9pX0iOukSidc5KmA_3_4"/>
      <w:bookmarkStart w:id="1238" w:name="Tc_aFDgptK3n0KwGaRhB-Effg_3_2"/>
      <w:bookmarkStart w:id="1239" w:name="Tc_NEXCq9SZJkmYajr6SxAkyA_2_2"/>
      <w:bookmarkStart w:id="1240" w:name="Tc_kwbZfy1Wo0KafQwipo0LFQ_1_2"/>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b/>
          <w:i w:val="false"/>
          <w:caps w:val="false"/>
          <w:smallCaps w:val="false"/>
          <w:sz w:val="20"/>
        </w:rPr>
        <w:t>19.</w:t>
      </w:r>
      <w:r>
        <w:rPr>
          <w:rFonts w:ascii="Times New Roman;Times;serif" w:hAnsi="Times New Roman;Times;serif"/>
          <w:b/>
          <w:sz w:val="20"/>
        </w:rPr>
        <w:t>Significant related party transactions (Continued)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Key management compensation</w:t>
      </w:r>
    </w:p>
    <w:p>
      <w:pPr>
        <w:pStyle w:val="TextBody"/>
        <w:bidi w:val="0"/>
        <w:spacing w:before="0" w:after="0"/>
        <w:ind w:left="0" w:right="0" w:hanging="0"/>
        <w:jc w:val="left"/>
        <w:rPr/>
      </w:pPr>
      <w:r>
        <w:rPr/>
        <w:t>​</w:t>
      </w:r>
    </w:p>
    <w:tbl>
      <w:tblPr>
        <w:tblW w:w="5687" w:type="dxa"/>
        <w:jc w:val="left"/>
        <w:tblInd w:w="0" w:type="dxa"/>
        <w:tblLayout w:type="fixed"/>
        <w:tblCellMar>
          <w:top w:w="0" w:type="dxa"/>
          <w:left w:w="0" w:type="dxa"/>
          <w:bottom w:w="0" w:type="dxa"/>
          <w:right w:w="0" w:type="dxa"/>
        </w:tblCellMar>
      </w:tblPr>
      <w:tblGrid>
        <w:gridCol w:w="3421"/>
        <w:gridCol w:w="346"/>
        <w:gridCol w:w="669"/>
        <w:gridCol w:w="496"/>
        <w:gridCol w:w="755"/>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72335" cy="175260"/>
                      <wp:effectExtent l="0" t="0" r="0" b="0"/>
                      <wp:wrapNone/>
                      <wp:docPr id="197" name="Frame19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4815" cy="175260"/>
                      <wp:effectExtent l="0" t="0" r="0" b="0"/>
                      <wp:wrapNone/>
                      <wp:docPr id="199" name="Frame199"/>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14960" cy="175260"/>
                      <wp:effectExtent l="0" t="0" r="0" b="0"/>
                      <wp:wrapNone/>
                      <wp:docPr id="200" name="Frame20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79425" cy="175260"/>
                      <wp:effectExtent l="0" t="0" r="0" b="0"/>
                      <wp:wrapNone/>
                      <wp:docPr id="201" name="Frame201"/>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2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six-month ended</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6" w:type="dxa"/>
            <w:tcBorders/>
            <w:vAlign w:val="center"/>
          </w:tcPr>
          <w:p>
            <w:pPr>
              <w:pStyle w:val="TableContents"/>
              <w:bidi w:val="0"/>
              <w:spacing w:before="0" w:after="0"/>
              <w:ind w:left="0" w:right="0" w:hanging="0"/>
              <w:jc w:val="left"/>
              <w:rPr/>
            </w:pPr>
            <w:r>
              <w:rPr/>
              <w:t>  ​ ​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w:t>
            </w:r>
          </w:p>
        </w:tc>
        <w:tc>
          <w:tcPr>
            <w:tcW w:w="346"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755"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bonus and allowances</w:t>
            </w:r>
          </w:p>
        </w:tc>
        <w:tc>
          <w:tcPr>
            <w:tcW w:w="346"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496" w:type="dxa"/>
            <w:tcBorders/>
            <w:vAlign w:val="center"/>
          </w:tcPr>
          <w:p>
            <w:pPr>
              <w:pStyle w:val="TableContents"/>
              <w:bidi w:val="0"/>
              <w:spacing w:before="0" w:after="0"/>
              <w:ind w:left="0" w:right="0" w:hanging="0"/>
              <w:jc w:val="righ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contribution retirement schemes</w:t>
            </w:r>
          </w:p>
        </w:tc>
        <w:tc>
          <w:tcPr>
            <w:tcW w:w="346"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96" w:type="dxa"/>
            <w:tcBorders/>
            <w:shd w:fill="CCEEFF" w:val="clear"/>
            <w:vAlign w:val="center"/>
          </w:tcPr>
          <w:p>
            <w:pPr>
              <w:pStyle w:val="TableContents"/>
              <w:bidi w:val="0"/>
              <w:spacing w:before="0" w:after="0"/>
              <w:ind w:left="0" w:right="0" w:hanging="0"/>
              <w:jc w:val="righ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vAlign w:val="center"/>
          </w:tcPr>
          <w:p>
            <w:pPr>
              <w:pStyle w:val="TableContents"/>
              <w:bidi w:val="0"/>
              <w:spacing w:before="0" w:after="0"/>
              <w:ind w:left="0" w:right="0" w:hanging="0"/>
              <w:jc w:val="left"/>
              <w:rPr/>
            </w:pPr>
            <w:r>
              <w:rPr/>
              <w:t> </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496" w:type="dxa"/>
            <w:tcBorders/>
            <w:shd w:fill="CCEEFF" w:val="clear"/>
            <w:vAlign w:val="center"/>
          </w:tcPr>
          <w:p>
            <w:pPr>
              <w:pStyle w:val="TableContents"/>
              <w:bidi w:val="0"/>
              <w:spacing w:before="0" w:after="0"/>
              <w:ind w:left="0" w:right="0" w:hanging="0"/>
              <w:jc w:val="righ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998</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Commitments and contingencies</w:t>
      </w:r>
    </w:p>
    <w:tbl>
      <w:tblPr>
        <w:tblW w:w="1416" w:type="dxa"/>
        <w:jc w:val="left"/>
        <w:tblInd w:w="0" w:type="dxa"/>
        <w:tblLayout w:type="fixed"/>
        <w:tblCellMar>
          <w:top w:w="0" w:type="dxa"/>
          <w:left w:w="0" w:type="dxa"/>
          <w:bottom w:w="0" w:type="dxa"/>
          <w:right w:w="0" w:type="dxa"/>
        </w:tblCellMar>
      </w:tblPr>
      <w:tblGrid>
        <w:gridCol w:w="124"/>
        <w:gridCol w:w="31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Litigation</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In the ordinary course of the business, the Company is subject to periodic legal or administrative proceedings. As of June 30, 2026, the Company is not a party to any legal or administrative proceedings which will have a material adverse effect on the Company’s business, financial position, results of operations and cash flows.</w:t>
      </w:r>
    </w:p>
    <w:tbl>
      <w:tblPr>
        <w:tblW w:w="2346" w:type="dxa"/>
        <w:jc w:val="left"/>
        <w:tblInd w:w="0" w:type="dxa"/>
        <w:tblLayout w:type="fixed"/>
        <w:tblCellMar>
          <w:top w:w="0" w:type="dxa"/>
          <w:left w:w="0" w:type="dxa"/>
          <w:bottom w:w="0" w:type="dxa"/>
          <w:right w:w="0" w:type="dxa"/>
        </w:tblCellMar>
      </w:tblPr>
      <w:tblGrid>
        <w:gridCol w:w="124"/>
        <w:gridCol w:w="331"/>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8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Capital commitments</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As of June 30, 2025 and 2026, the Company had no capital commitments.</w:t>
      </w:r>
    </w:p>
    <w:p>
      <w:pPr>
        <w:pStyle w:val="TextBody"/>
        <w:bidi w:val="0"/>
        <w:spacing w:before="0" w:after="0"/>
        <w:ind w:left="144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41" w:name="Subsequentevents_343912"/>
      <w:bookmarkEnd w:id="1241"/>
      <w:r>
        <w:rPr>
          <w:rFonts w:ascii="Times New Roman;Times;serif" w:hAnsi="Times New Roman;Times;serif"/>
          <w:b/>
          <w:i w:val="false"/>
          <w:caps w:val="false"/>
          <w:smallCaps w:val="false"/>
          <w:sz w:val="20"/>
        </w:rPr>
        <w:t>21.</w:t>
      </w:r>
      <w:r>
        <w:rPr>
          <w:rFonts w:ascii="Times New Roman;Times;serif" w:hAnsi="Times New Roman;Times;serif"/>
          <w:b/>
          <w:sz w:val="20"/>
        </w:rPr>
        <w:t>Subsequent events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Except as disclosed above, the Company evaluated subsequent events from June 30, 2026 through the date when the condensed consolidated interim financial statements were issued, and concluded that no other subsequent events have occurred that would require recognition or disclose in the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40"/>
        <w:ind w:left="0" w:right="0" w:hanging="0"/>
        <w:jc w:val="right"/>
        <w:rPr>
          <w:rFonts w:ascii="Times New Roman;Times;serif" w:hAnsi="Times New Roman;Times;serif"/>
          <w:b/>
          <w:sz w:val="20"/>
        </w:rPr>
      </w:pPr>
      <w:bookmarkStart w:id="1242" w:name="ambr-20260910xex99d2.htm"/>
      <w:bookmarkStart w:id="1243" w:name="ksambr20260910xex99d2"/>
      <w:bookmarkEnd w:id="1242"/>
      <w:bookmarkEnd w:id="1243"/>
      <w:r>
        <w:rPr>
          <w:rFonts w:ascii="Times New Roman;Times;serif" w:hAnsi="Times New Roman;Times;serif"/>
          <w:b/>
          <w:sz w:val="20"/>
        </w:rPr>
        <w:t>Exhibit 99.2</w:t>
      </w:r>
      <w:r>
        <w:br w:type="page"/>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i/>
          <w:sz w:val="20"/>
        </w:rPr>
      </w:pPr>
      <w:bookmarkStart w:id="1244" w:name="_Hlk239786292"/>
      <w:bookmarkEnd w:id="1244"/>
      <w:r>
        <w:rPr>
          <w:rFonts w:ascii="Times New Roman;Times;serif" w:hAnsi="Times New Roman;Times;serif"/>
          <w:i/>
          <w:sz w:val="20"/>
        </w:rPr>
        <w:t>The following discussion and analysis provide information that management believes is relevant to an assessment and understanding of our results of operations and financial condition. You should read the following discussion and analysis of our financial condition and results of operations in conjunction with (i) our unaudited condensed consolidated statements of financial position as of June 30, 2026, unaudited condensed consolidated statements of profit or loss, comprehensive income/(loss), changes in shareholders’ equity and cash flows for the six months ended June 30, 2025 and June 30, 2026, and notes to the unaudited condensed consolidated financial statements thereto included elsewhere in this Form 6-K, and (ii) the information contained in our annual report on Form 20-F for the year ended December 31, 2025 filed with the U.S. Securities and Exchange Commission on May 13, 2026 (the “Form 20-F”), including the audited consolidated financial statements and the accompanying notes included therein, and the information under “Item 5. Operating and Financial Review and Prospects” in the Form 20-F.</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Forward Looking Statements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245" w:name="_Hlk239786307"/>
      <w:bookmarkEnd w:id="1245"/>
      <w:r>
        <w:rPr>
          <w:rFonts w:ascii="Times New Roman;Times;serif" w:hAnsi="Times New Roman;Times;serif"/>
          <w:sz w:val="20"/>
        </w:rPr>
        <w:t>This Form 6-K may contain forward-looking statements (within the meaning of Section 27A of the Securities Act of 1933, as amended and Section 21E of the Securities Exchange Act of 1934, as amended)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 Reform Act of 1995.</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before="0" w:after="0"/>
        <w:ind w:left="0" w:right="0" w:hanging="0"/>
        <w:jc w:val="both"/>
        <w:rPr/>
      </w:pPr>
      <w:r>
        <w:rPr/>
        <w:t>​</w:t>
      </w:r>
    </w:p>
    <w:tbl>
      <w:tblPr>
        <w:tblW w:w="2898" w:type="dxa"/>
        <w:jc w:val="left"/>
        <w:tblInd w:w="0" w:type="dxa"/>
        <w:tblLayout w:type="fixed"/>
        <w:tblCellMar>
          <w:top w:w="0" w:type="dxa"/>
          <w:left w:w="0" w:type="dxa"/>
          <w:bottom w:w="0" w:type="dxa"/>
          <w:right w:w="0" w:type="dxa"/>
        </w:tblCellMar>
      </w:tblPr>
      <w:tblGrid>
        <w:gridCol w:w="23"/>
        <w:gridCol w:w="170"/>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goals and strategies;</w:t>
            </w:r>
          </w:p>
        </w:tc>
      </w:tr>
    </w:tbl>
    <w:p>
      <w:pPr>
        <w:pStyle w:val="TextBody"/>
        <w:bidi w:val="0"/>
        <w:spacing w:before="0" w:after="0"/>
        <w:ind w:left="720" w:right="0" w:hanging="0"/>
        <w:jc w:val="both"/>
        <w:rPr/>
      </w:pPr>
      <w:r>
        <w:rPr/>
        <w:t>​</w:t>
      </w:r>
    </w:p>
    <w:tbl>
      <w:tblPr>
        <w:tblW w:w="4803" w:type="dxa"/>
        <w:jc w:val="left"/>
        <w:tblInd w:w="0" w:type="dxa"/>
        <w:tblLayout w:type="fixed"/>
        <w:tblCellMar>
          <w:top w:w="0" w:type="dxa"/>
          <w:left w:w="0" w:type="dxa"/>
          <w:bottom w:w="0" w:type="dxa"/>
          <w:right w:w="0" w:type="dxa"/>
        </w:tblCellMar>
      </w:tblPr>
      <w:tblGrid>
        <w:gridCol w:w="23"/>
        <w:gridCol w:w="170"/>
        <w:gridCol w:w="46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transformation into an agentic AI company;</w:t>
            </w:r>
          </w:p>
        </w:tc>
      </w:tr>
    </w:tbl>
    <w:p>
      <w:pPr>
        <w:pStyle w:val="TextBody"/>
        <w:bidi w:val="0"/>
        <w:spacing w:before="0" w:after="0"/>
        <w:ind w:left="720" w:right="0" w:hanging="0"/>
        <w:jc w:val="both"/>
        <w:rPr/>
      </w:pPr>
      <w:r>
        <w:rPr/>
        <w:t>​</w:t>
      </w:r>
    </w:p>
    <w:tbl>
      <w:tblPr>
        <w:tblW w:w="6588" w:type="dxa"/>
        <w:jc w:val="left"/>
        <w:tblInd w:w="0" w:type="dxa"/>
        <w:tblLayout w:type="fixed"/>
        <w:tblCellMar>
          <w:top w:w="0" w:type="dxa"/>
          <w:left w:w="0" w:type="dxa"/>
          <w:bottom w:w="0" w:type="dxa"/>
          <w:right w:w="0" w:type="dxa"/>
        </w:tblCellMar>
      </w:tblPr>
      <w:tblGrid>
        <w:gridCol w:w="23"/>
        <w:gridCol w:w="170"/>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p>
      <w:pPr>
        <w:pStyle w:val="TextBody"/>
        <w:bidi w:val="0"/>
        <w:spacing w:before="0" w:after="0"/>
        <w:ind w:left="720" w:right="0" w:hanging="0"/>
        <w:jc w:val="both"/>
        <w:rPr/>
      </w:pPr>
      <w:r>
        <w:rPr/>
        <w:t>​</w:t>
      </w:r>
    </w:p>
    <w:tbl>
      <w:tblPr>
        <w:tblW w:w="3168" w:type="dxa"/>
        <w:jc w:val="left"/>
        <w:tblInd w:w="0" w:type="dxa"/>
        <w:tblLayout w:type="fixed"/>
        <w:tblCellMar>
          <w:top w:w="0" w:type="dxa"/>
          <w:left w:w="0" w:type="dxa"/>
          <w:bottom w:w="0" w:type="dxa"/>
          <w:right w:w="0" w:type="dxa"/>
        </w:tblCellMar>
      </w:tblPr>
      <w:tblGrid>
        <w:gridCol w:w="23"/>
        <w:gridCol w:w="17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our industry;</w:t>
            </w:r>
          </w:p>
        </w:tc>
      </w:tr>
    </w:tbl>
    <w:p>
      <w:pPr>
        <w:pStyle w:val="TextBody"/>
        <w:bidi w:val="0"/>
        <w:spacing w:before="0" w:after="0"/>
        <w:ind w:left="720" w:right="0" w:hanging="0"/>
        <w:jc w:val="both"/>
        <w:rPr/>
      </w:pPr>
      <w:r>
        <w:rPr/>
        <w:t>​</w:t>
      </w:r>
    </w:p>
    <w:tbl>
      <w:tblPr>
        <w:tblW w:w="8448" w:type="dxa"/>
        <w:jc w:val="left"/>
        <w:tblInd w:w="0" w:type="dxa"/>
        <w:tblLayout w:type="fixed"/>
        <w:tblCellMar>
          <w:top w:w="0" w:type="dxa"/>
          <w:left w:w="0" w:type="dxa"/>
          <w:bottom w:w="0" w:type="dxa"/>
          <w:right w:w="0" w:type="dxa"/>
        </w:tblCellMar>
      </w:tblPr>
      <w:tblGrid>
        <w:gridCol w:w="23"/>
        <w:gridCol w:w="170"/>
        <w:gridCol w:w="8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 services and solutions;</w:t>
            </w:r>
          </w:p>
        </w:tc>
      </w:tr>
    </w:tbl>
    <w:p>
      <w:pPr>
        <w:pStyle w:val="TextBody"/>
        <w:bidi w:val="0"/>
        <w:spacing w:before="0" w:after="0"/>
        <w:ind w:left="720" w:right="0" w:hanging="0"/>
        <w:jc w:val="both"/>
        <w:rPr/>
      </w:pPr>
      <w:r>
        <w:rPr/>
        <w:t>​</w:t>
      </w:r>
    </w:p>
    <w:tbl>
      <w:tblPr>
        <w:tblW w:w="2508" w:type="dxa"/>
        <w:jc w:val="left"/>
        <w:tblInd w:w="0" w:type="dxa"/>
        <w:tblLayout w:type="fixed"/>
        <w:tblCellMar>
          <w:top w:w="0" w:type="dxa"/>
          <w:left w:w="0" w:type="dxa"/>
          <w:bottom w:w="0" w:type="dxa"/>
          <w:right w:w="0" w:type="dxa"/>
        </w:tblCellMar>
      </w:tblPr>
      <w:tblGrid>
        <w:gridCol w:w="23"/>
        <w:gridCol w:w="170"/>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bl>
    <w:p>
      <w:pPr>
        <w:pStyle w:val="TextBody"/>
        <w:pBdr/>
        <w:bidi w:val="0"/>
        <w:spacing w:before="0" w:after="0"/>
        <w:ind w:left="360" w:right="0" w:hanging="360"/>
        <w:jc w:val="both"/>
        <w:rPr/>
      </w:pPr>
      <w:r>
        <w:rPr/>
        <w:t>​</w:t>
      </w:r>
    </w:p>
    <w:tbl>
      <w:tblPr>
        <w:tblW w:w="8988" w:type="dxa"/>
        <w:jc w:val="left"/>
        <w:tblInd w:w="0" w:type="dxa"/>
        <w:tblLayout w:type="fixed"/>
        <w:tblCellMar>
          <w:top w:w="0" w:type="dxa"/>
          <w:left w:w="0" w:type="dxa"/>
          <w:bottom w:w="0" w:type="dxa"/>
          <w:right w:w="0" w:type="dxa"/>
        </w:tblCellMar>
      </w:tblPr>
      <w:tblGrid>
        <w:gridCol w:w="23"/>
        <w:gridCol w:w="170"/>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remediate the material weaknesses in our internal control over financial reporting;</w:t>
            </w:r>
          </w:p>
        </w:tc>
      </w:tr>
    </w:tbl>
    <w:p>
      <w:pPr>
        <w:pStyle w:val="TextBody"/>
        <w:bidi w:val="0"/>
        <w:spacing w:before="0" w:after="0"/>
        <w:ind w:left="720" w:right="0" w:hanging="0"/>
        <w:jc w:val="both"/>
        <w:rPr/>
      </w:pPr>
      <w:r>
        <w:rPr/>
        <w:t>​</w:t>
      </w:r>
    </w:p>
    <w:tbl>
      <w:tblPr>
        <w:tblW w:w="6948" w:type="dxa"/>
        <w:jc w:val="left"/>
        <w:tblInd w:w="0" w:type="dxa"/>
        <w:tblLayout w:type="fixed"/>
        <w:tblCellMar>
          <w:top w:w="0" w:type="dxa"/>
          <w:left w:w="0" w:type="dxa"/>
          <w:bottom w:w="0" w:type="dxa"/>
          <w:right w:w="0" w:type="dxa"/>
        </w:tblCellMar>
      </w:tblPr>
      <w:tblGrid>
        <w:gridCol w:w="23"/>
        <w:gridCol w:w="170"/>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our business and industry;</w:t>
            </w:r>
          </w:p>
        </w:tc>
      </w:tr>
    </w:tbl>
    <w:p>
      <w:pPr>
        <w:pStyle w:val="TextBody"/>
        <w:bidi w:val="0"/>
        <w:spacing w:before="0" w:after="0"/>
        <w:ind w:left="720" w:right="0" w:hanging="0"/>
        <w:jc w:val="both"/>
        <w:rPr/>
      </w:pPr>
      <w:r>
        <w:rPr/>
        <w:t>​</w:t>
      </w:r>
    </w:p>
    <w:tbl>
      <w:tblPr>
        <w:tblW w:w="2418" w:type="dxa"/>
        <w:jc w:val="left"/>
        <w:tblInd w:w="0" w:type="dxa"/>
        <w:tblLayout w:type="fixed"/>
        <w:tblCellMar>
          <w:top w:w="0" w:type="dxa"/>
          <w:left w:w="0" w:type="dxa"/>
          <w:bottom w:w="0" w:type="dxa"/>
          <w:right w:w="0" w:type="dxa"/>
        </w:tblCellMar>
      </w:tblPr>
      <w:tblGrid>
        <w:gridCol w:w="23"/>
        <w:gridCol w:w="17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crypto reserve strategy;</w:t>
            </w:r>
          </w:p>
        </w:tc>
      </w:tr>
    </w:tbl>
    <w:p>
      <w:pPr>
        <w:pStyle w:val="TextBody"/>
        <w:bidi w:val="0"/>
        <w:spacing w:before="0" w:after="0"/>
        <w:ind w:left="720" w:right="0" w:hanging="0"/>
        <w:jc w:val="both"/>
        <w:rPr/>
      </w:pPr>
      <w:r>
        <w:rPr/>
        <w:t>​</w:t>
      </w:r>
    </w:p>
    <w:tbl>
      <w:tblPr>
        <w:tblW w:w="7503" w:type="dxa"/>
        <w:jc w:val="left"/>
        <w:tblInd w:w="0" w:type="dxa"/>
        <w:tblLayout w:type="fixed"/>
        <w:tblCellMar>
          <w:top w:w="0" w:type="dxa"/>
          <w:left w:w="0" w:type="dxa"/>
          <w:bottom w:w="0" w:type="dxa"/>
          <w:right w:w="0" w:type="dxa"/>
        </w:tblCellMar>
      </w:tblPr>
      <w:tblGrid>
        <w:gridCol w:w="23"/>
        <w:gridCol w:w="17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globally and in jurisdictions where we operate;</w:t>
            </w:r>
          </w:p>
        </w:tc>
      </w:tr>
    </w:tbl>
    <w:p>
      <w:pPr>
        <w:pStyle w:val="TextBody"/>
        <w:pBdr/>
        <w:bidi w:val="0"/>
        <w:spacing w:before="0" w:after="0"/>
        <w:ind w:left="360" w:right="0" w:hanging="360"/>
        <w:jc w:val="both"/>
        <w:rPr/>
      </w:pPr>
      <w:r>
        <w:rPr/>
        <w:t>​</w:t>
      </w:r>
    </w:p>
    <w:tbl>
      <w:tblPr>
        <w:tblW w:w="5283" w:type="dxa"/>
        <w:jc w:val="left"/>
        <w:tblInd w:w="0" w:type="dxa"/>
        <w:tblLayout w:type="fixed"/>
        <w:tblCellMar>
          <w:top w:w="0" w:type="dxa"/>
          <w:left w:w="0" w:type="dxa"/>
          <w:bottom w:w="0" w:type="dxa"/>
          <w:right w:w="0" w:type="dxa"/>
        </w:tblCellMar>
      </w:tblPr>
      <w:tblGrid>
        <w:gridCol w:w="23"/>
        <w:gridCol w:w="170"/>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or related to any of the foregoing; and</w:t>
            </w:r>
          </w:p>
        </w:tc>
      </w:tr>
    </w:tbl>
    <w:p>
      <w:pPr>
        <w:pStyle w:val="TextBody"/>
        <w:bidi w:val="0"/>
        <w:spacing w:before="0" w:after="0"/>
        <w:ind w:left="720" w:right="0" w:hanging="0"/>
        <w:jc w:val="both"/>
        <w:rPr/>
      </w:pPr>
      <w:r>
        <w:rPr/>
        <w:t>​</w:t>
      </w:r>
    </w:p>
    <w:tbl>
      <w:tblPr>
        <w:tblW w:w="9243" w:type="dxa"/>
        <w:jc w:val="left"/>
        <w:tblInd w:w="0" w:type="dxa"/>
        <w:tblLayout w:type="fixed"/>
        <w:tblCellMar>
          <w:top w:w="0" w:type="dxa"/>
          <w:left w:w="0" w:type="dxa"/>
          <w:bottom w:w="0" w:type="dxa"/>
          <w:right w:w="0" w:type="dxa"/>
        </w:tblCellMar>
      </w:tblPr>
      <w:tblGrid>
        <w:gridCol w:w="23"/>
        <w:gridCol w:w="170"/>
        <w:gridCol w:w="9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and uncertainties described under “Item 3. Key Information — D. Risk Factors” in the Form 20-F.</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should read this Form 6-K and the documents that we refer to in this Form 6-K completely and with the understanding that our actual future results may be materially different from what we expect. Other sections of this Form 6-K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The forward-looking statements made in this Form 6-K relate only to events or information as of the date on which the statements are made in this Form 6-K. The forward-looking statements are not historical facts, and are based upon our current expectations, beliefs, estimates and projections, and various assumptions, many of which, by their nature, are inherently uncertain and beyond our control. Our expectations, beliefs, estimates and projections are expressed in good faith and we believe there is a reasonable basis for them. However, there can be no assurance that management’s expectations, beliefs, estimates and projections will result or be achieved and actual results may vary materially from what is expressed in or indicated by the forward-looking statements. There are a number of risks, uncertainties and other important factors, many of which are beyond our control, that could cause our actual results to differ materially from the forward-looking statements contained in this Form 6-K. The principal risks, uncertainties and other important factors that have affected or may affect our business and that have caused or could cause our actual results to differ materially include the following, as well as the other risks detailed in the “Risk Factors” section contained in the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0"/>
        <w:ind w:left="0" w:right="0" w:hanging="0"/>
        <w:jc w:val="both"/>
        <w:rPr>
          <w:rFonts w:ascii="Times New Roman;Times;serif" w:hAnsi="Times New Roman;Times;serif"/>
          <w:b/>
          <w:i/>
          <w:sz w:val="20"/>
          <w:u w:val="single"/>
        </w:rPr>
      </w:pPr>
      <w:r>
        <w:rPr>
          <w:rFonts w:ascii="Times New Roman;Times;serif" w:hAnsi="Times New Roman;Times;serif"/>
          <w:b/>
          <w:i/>
          <w:sz w:val="20"/>
          <w:u w:val="single"/>
        </w:rPr>
        <w:t>With respect to our agentic business: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an agentic AI company dedicated to building specialized AI agents for finance, enterprise, and growth — domains where the stakes are high and trust matters most. We combine AI technology with deep expertise in financial markets, real-world workflows, and trusted infrastructure.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Software engineering has been an early proving ground for agentic AI, showing how AI models can move beyond generating answers to completing tasks when connected to the right tools, context, data, and permissions. Applying this model to other domains is more complex, particularly in areas such as finance and marketing, where agents need to operate within domain-specific data, applicable constraints, established workflows, and risk parameters. We seek to address this challenge by developing AI agents purpose-built for these domains. Our current agentic offerings include: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Ambre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AI agent for personal finance </w:t>
            </w:r>
            <w:r>
              <w:rPr>
                <w:caps w:val="false"/>
                <w:smallCaps w:val="false"/>
              </w:rPr>
              <w:t xml:space="preserve">– </w:t>
            </w:r>
            <w:r>
              <w:rPr>
                <w:rFonts w:ascii="Times New Roman;Times;serif" w:hAnsi="Times New Roman;Times;serif"/>
                <w:b w:val="false"/>
                <w:i w:val="false"/>
                <w:caps w:val="false"/>
                <w:smallCaps w:val="false"/>
                <w:sz w:val="20"/>
              </w:rPr>
              <w:t>Users can explore their financial information in natural language, with Ambre delivering insights grounded in their actual holdings and interests alongside relevant market intelligence. Ambre analyzes portfolios across accounts and asset classes, monitors relevant developments and conditions, and alerts users to developments that affect their holdings. It works across users’ existing exchange and brokerage accounts and does not require users to move assets. Ambre does not place orders; when a user decides to act, they are connected to our expert team. Ambre is available by invitation, starting with the verified clients of Amber Premium, our existing digital asset wealth management platform.</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MIA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Marketing AI agent </w:t>
            </w:r>
            <w:r>
              <w:rPr>
                <w:caps w:val="false"/>
                <w:smallCaps w:val="false"/>
              </w:rPr>
              <w:t xml:space="preserve">– </w:t>
            </w:r>
            <w:r>
              <w:rPr>
                <w:rFonts w:ascii="Times New Roman;Times;serif" w:hAnsi="Times New Roman;Times;serif"/>
                <w:b w:val="false"/>
                <w:i w:val="false"/>
                <w:caps w:val="false"/>
                <w:smallCaps w:val="false"/>
                <w:sz w:val="20"/>
              </w:rPr>
              <w:t>It connects market intelligence, content production, and distribution into a single workflow. It continuously monitors brands, competitors, market signals, social channels, news, and AI search results to identify relevant opportunities and risks. It then helps teams turn insights into actionable marketing outputs — from research and strategic planning to content development, response planning, and distribution — with review and approval steps keeping users in control.</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A-MM</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Agentic Market Making (“A-MM”) </w:t>
            </w:r>
            <w:r>
              <w:rPr>
                <w:caps w:val="false"/>
                <w:smallCaps w:val="false"/>
              </w:rPr>
              <w:t xml:space="preserve">– </w:t>
            </w:r>
            <w:r>
              <w:rPr>
                <w:rFonts w:ascii="Times New Roman;Times;serif" w:hAnsi="Times New Roman;Times;serif"/>
                <w:b w:val="false"/>
                <w:i w:val="false"/>
                <w:caps w:val="false"/>
                <w:smallCaps w:val="false"/>
                <w:sz w:val="20"/>
              </w:rPr>
              <w:t>It is an agent-native liquidity operations system and designated market-making infrastructure platform designed for token projects. It unifies execution workflows, infrastructure, and transparency into a single, agent-orchestrated layer, supported by real-time performance and risk reporting. A-MM is designed to work alongside traditional market makers rather than replace them, with the goal of improving efficiency, transparency, and scalability.</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Agentic revenue for the six months ended June 30, 2026 was generated from (i) A-MM, which began contributing revenue in the second quarter of 2026, and (ii) marketing and enterprise solutions, which contributed revenue throughout the period. Ambre and MIA were introduced after period-end and did not contribute to revenue for the six months ended June 30, 2026.</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i/>
          <w:sz w:val="20"/>
          <w:u w:val="single"/>
        </w:rPr>
      </w:pPr>
      <w:r>
        <w:rPr>
          <w:rFonts w:ascii="Times New Roman;Times;serif" w:hAnsi="Times New Roman;Times;serif"/>
          <w:b/>
          <w:i/>
          <w:sz w:val="20"/>
          <w:u w:val="single"/>
        </w:rPr>
        <w:t>With respect to our digital assets platform business: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a leading digital asset wealth management platform that serves as an institutional gateway to crypto finance, providing market access, execution infrastructure, and investment solutions for institutional investors and high-net-worth individuals (HNWIs).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institutions and HNWIs increasingly explore opportunities in the digital asset sector, their initial participation is often through familiar traditional financial instruments, such as exchange-traded funds (ETFs) and direct exposure to Bitcoin. As their engagement deepens, these investors increasingly recognize that the digital asset landscape encompasses a broader range of opportunities, including blockchain-based innovations, decentralized finance (DeFi) applications, and tokenized financial products. We seek to address these evolving needs by offering institutional-grade execution services, a comprehensive suite of investment products, and integrated crypto payment solutions that extend beyond traditional financial (TradFi) instruments. Leveraging our market expertise, proprietary technologies, and institutional-level risk management practices, we enable clients to effectively navigate the complexities of the digital asset ecosystem, optimize portfolio strategies, and identify new opportunities for growth within this emerging asset class.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By seamlessly merging traditional finance and decentralized finance, we provide the following major products to meet our clients’ evolving needs: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Comprehensive Wealth Management Solutions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Structured Investment Products </w:t>
            </w:r>
            <w:r>
              <w:rPr>
                <w:caps w:val="false"/>
                <w:smallCaps w:val="false"/>
              </w:rPr>
              <w:t xml:space="preserve">– </w:t>
            </w:r>
            <w:r>
              <w:rPr>
                <w:rFonts w:ascii="Times New Roman;Times;serif" w:hAnsi="Times New Roman;Times;serif"/>
                <w:b w:val="false"/>
                <w:i w:val="false"/>
                <w:caps w:val="false"/>
                <w:smallCaps w:val="false"/>
                <w:sz w:val="20"/>
              </w:rPr>
              <w:t>We offer a range of products with option structures, including dual cryptocurrency instruments and accumulator/decumulator products, which are designed to support systematic asset accumulation and manage exposure in a risk-adjusted manner.</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Yield &amp; DeFi Solutions </w:t>
            </w:r>
            <w:r>
              <w:rPr>
                <w:caps w:val="false"/>
                <w:smallCaps w:val="false"/>
              </w:rPr>
              <w:t xml:space="preserve">– </w:t>
            </w:r>
            <w:r>
              <w:rPr>
                <w:rFonts w:ascii="Times New Roman;Times;serif" w:hAnsi="Times New Roman;Times;serif"/>
                <w:b w:val="false"/>
                <w:i w:val="false"/>
                <w:caps w:val="false"/>
                <w:smallCaps w:val="false"/>
                <w:sz w:val="20"/>
              </w:rPr>
              <w:t>We offer earn programs, staking rewards, and DeFi yield-related products, which are structured to enhance capital efficiency while maintaining effective risk management.</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Collateralized Lending </w:t>
            </w:r>
            <w:r>
              <w:rPr>
                <w:caps w:val="false"/>
                <w:smallCaps w:val="false"/>
              </w:rPr>
              <w:t xml:space="preserve">– </w:t>
            </w:r>
            <w:r>
              <w:rPr>
                <w:rFonts w:ascii="Times New Roman;Times;serif" w:hAnsi="Times New Roman;Times;serif"/>
                <w:b w:val="false"/>
                <w:i w:val="false"/>
                <w:caps w:val="false"/>
                <w:smallCaps w:val="false"/>
                <w:sz w:val="20"/>
              </w:rPr>
              <w:t>We offer crypto-backed financing solutions that allow clients to obtain liquidity against their digital asset holdings. These services include configurable loan terms and automated position monitoring mechanisms designed to reduce the risk of forced liquidation.</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Full-Stack Execution Solutions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execution solutions provide direct access to over 2,000 trading pairs across more than 100 centralized exchanges (CEXs), decentralized exchanges (DEXs), and over-the-counter (OTC) markets. The platform’s connectivity to a broad network of liquidity sources enables trade execution across a wide range of digital assets.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Automated Execution </w:t>
            </w:r>
            <w:r>
              <w:rPr>
                <w:caps w:val="false"/>
                <w:smallCaps w:val="false"/>
              </w:rPr>
              <w:t xml:space="preserve">– </w:t>
            </w:r>
            <w:r>
              <w:rPr>
                <w:rFonts w:ascii="Times New Roman;Times;serif" w:hAnsi="Times New Roman;Times;serif"/>
                <w:b w:val="false"/>
                <w:i w:val="false"/>
                <w:caps w:val="false"/>
                <w:smallCaps w:val="false"/>
                <w:sz w:val="20"/>
              </w:rPr>
              <w:t>Our execution services are backed by a high-performance trading infrastructure, supporting automated strategies and advanced order execution methods, such as Volume Weighted Average Price (VWAP) and Time Weighted Average Price (TWAP), and Iceberg strategies for optimized trading.</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OTC Trading </w:t>
            </w:r>
            <w:r>
              <w:rPr>
                <w:caps w:val="false"/>
                <w:smallCaps w:val="false"/>
              </w:rPr>
              <w:t xml:space="preserve">– </w:t>
            </w:r>
            <w:r>
              <w:rPr>
                <w:rFonts w:ascii="Times New Roman;Times;serif" w:hAnsi="Times New Roman;Times;serif"/>
                <w:b w:val="false"/>
                <w:i w:val="false"/>
                <w:caps w:val="false"/>
                <w:smallCaps w:val="false"/>
                <w:sz w:val="20"/>
              </w:rPr>
              <w:t>We offer over-the-counter trading solutions through a 24/7 institutional OTC desk to facilitate large-order execution through bilateral transactions. The solutions are tailored to institutional clients and are designed to minimize market impact.</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Seamless Crypto Payment Solutions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Fiat On/Off-Ramp </w:t>
            </w:r>
            <w:r>
              <w:rPr>
                <w:caps w:val="false"/>
                <w:smallCaps w:val="false"/>
              </w:rPr>
              <w:t xml:space="preserve">– </w:t>
            </w:r>
            <w:r>
              <w:rPr>
                <w:rFonts w:ascii="Times New Roman;Times;serif" w:hAnsi="Times New Roman;Times;serif"/>
                <w:b w:val="false"/>
                <w:i w:val="false"/>
                <w:caps w:val="false"/>
                <w:smallCaps w:val="false"/>
                <w:sz w:val="20"/>
              </w:rPr>
              <w:t>We provide crypto-to-fiat and fiat-to-crypto conversion services through regulated channels, enabling clients to transact between digital assets and traditional currencies in a secure and compliant manner.</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sz w:val="20"/>
              </w:rPr>
              <w:t xml:space="preserve">Amber Premium Crypto Card </w:t>
            </w:r>
            <w:r>
              <w:rPr>
                <w:caps w:val="false"/>
                <w:smallCaps w:val="false"/>
              </w:rPr>
              <w:t xml:space="preserve">– </w:t>
            </w:r>
            <w:r>
              <w:rPr>
                <w:rFonts w:ascii="Times New Roman;Times;serif" w:hAnsi="Times New Roman;Times;serif"/>
                <w:b w:val="false"/>
                <w:i w:val="false"/>
                <w:caps w:val="false"/>
                <w:smallCaps w:val="false"/>
                <w:sz w:val="20"/>
              </w:rPr>
              <w:t>Amber Premium Crypto Card is a virtual payment solution designed to seamlessly integrate digital assets with traditional financial systems. This card enables users to directly spend a broad range of cryptocurrencies — including yield-generating digital assets — at merchants worldwide, with real-time transaction settlement. The Amber Premium Crypto Card aims to enhance the utility of digital assets by facilitating instantaneous and secure payments across the global merchant network.</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the key factors affecting our financial condition and results of operations include the following: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u w:val="single"/>
        </w:rPr>
      </w:pPr>
      <w:r>
        <w:rPr>
          <w:rFonts w:ascii="Times New Roman;Times;serif" w:hAnsi="Times New Roman;Times;serif"/>
          <w:b/>
          <w:i/>
          <w:sz w:val="20"/>
          <w:u w:val="single"/>
        </w:rPr>
        <w:t>With respect to our agentic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Client acquisition, retention and expansion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future growth depends in part on our ability to attract clients to our specialized AI agents or systems, which combine AI technology with domain expertise, data, and real-world workflows for specific use cases to support clients’ loyalty, retention and increased activity with our offerings. The markets for certain of our offerings remain relatively new, and it is uncertain whether our efforts and related investments will ever result in significant profits. In addition, if we are unable to develop enhancements and new features for our existing offerings that keep pace with rapid technological developments, our business could be impacted. The success of our development, and implementation of new features and services depends on several factors, including the timely completion, introduction and market acceptance of the feature, service or enhancement, as well as our ability to integrate all of our offerings and develop adequate selling capabilities in this new market. Failure in this regard may significantly impair our revenue growth as well as negatively impact our operating results if additional costs are not offset by additional revenues.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Offering and service enhancement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intend to continue investing in the capabilities of our offerings to provide more value for our clients to address new market opportunities, and ensure scalability and reliability as adoption increases. Additional agents and the financial framework for the transition are expected to be presented at an Investor Day, which we currently expect before year-end. Those agents are expected to be designed around specific use cases and end-to-end workflows to help clients evaluate opportunities, generate insights for decision-making, and organize workflows from intent to action. Our performance is significantly dependent on our ability to strengthen AI capabilities, innovate technologies, and extend our specialized AI agents and operating systems to capitalize on more growth opportunities. We plan to continue collaborating with clients and AI-native builders with practitioners who have deep experience in financial markets and operating real-world businesses to advance our AI capabilities with data, domain context, operational infrastructure, and workflows to build agents for consequential use cases. We also plan to continue investing in our AI technologies and upgrading our technology infrastructure.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Regulatory and Compliance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operations are subject to evolving regulation in areas such as data protection and AI usage. While we are committed to designing offerings that adhere to legal requirements, changes in these requirements could affect our costs, timing of deployments, or clients’ adoption.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u w:val="single"/>
        </w:rPr>
      </w:pPr>
      <w:r>
        <w:rPr>
          <w:rFonts w:ascii="Times New Roman;Times;serif" w:hAnsi="Times New Roman;Times;serif"/>
          <w:b/>
          <w:i/>
          <w:sz w:val="20"/>
          <w:u w:val="single"/>
        </w:rPr>
        <w:t>With respect to our digital assets platform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Market Demand for Digital Asset Management Products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market demand for digital asset management products is affected by a variety of factors related to market conditions and overall sentiment towards digital assets. Developments within the onchain economy—such as regulatory changes, technological advancements, or notable actions by major companies—can rapidly alter perceptions and adoption rates. For instance, if leading firms successfully implement fiat on/off ramp services or enhance OTC trading and execution capabilities, this could bolster confidence in digital assets as viable mediums of exchange or stores of value. While occasional challenges like security concerns or regulatory adjustments may arise, they are part of the dynamic landscape influencing user and investor confidence, affecting clients’ demand for these products. Additionally, evolving social media trends and market speculation may sway consumer preferences, impacting which digital assets are perceived as valuable.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Moreover, the ability of digital assets to meet user demands and provide tangible utility is crucial. As consumers seek products that integrate seamlessly into their financial lives, the functionality of digital assets and their ecosystems becomes paramount. These economic fluctuations can further influence these trends, reducing purchasing power and investment willingness at times. On the other hand, they also present opportunities for innovation and adaptability. This interplay of market sentiment, functionality, regulatory landscape, and economic conditions creates a dynamic environment for demand, driving the need for agility and innovation in responding to evolving consumer needs and perceptions in the onchain economy.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Price of Digital Assets and Transaction Volume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earn conversion fees when clients transfer or withdraw funds and/or digital assets from our platform, and perform conversion between fiat currencies and digital assets. We also earn finance income mainly from premiums earned on structured products as well as interest earned from digital asset lending arrangements. Depending on product type, we either charge a flat fee or a percentage of the value of each transaction. Therefore, our operating results are dependent on the prices of digital assets, transaction volumes, and market liquidity for digital assets.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in May 2025, we announced the crypto reserve plan of up to US$100 million. The reserve strategy will initially focus on high-conviction digital assets, such as Binance Coin (BNB), Solana (SOL), Sui (SUI), Ripple (XRP), Bitcoin (BTC), and Ethereum (ETH) — with flexibility to expand into other ecosystem-aligned tokens as well as allocate funds for stablecoins such as World Liberty Financial USD (USD1). As a result, our financial conditions and results of operation are affected by the fluctuations in the market price of these digital assets and any associated unrealized gains or losses. Such gains or losses may be recognized in our financial statements as a result of changes in the market price of these digital assets relative to the carrying values recorded on our balance sheets.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Effectiveness of Innovative “1+N” Premium Servicing Model and Client Support and Servicing Capabilities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Central to our offering is the innovative “1+N” premium service model. This client-first approach pairs each client with a dedicated relationship manager (the “1”) supported by a team of domain experts (the “N”), delivering tailored services across the entire digital asset wealth management lifecycle, including fiat on/off ramp services, OTC trading and execution services, standard earn/structured products and DeFi yield-enhanced products. The effectiveness of the “1+N” model may be affected during periods of market volatility, where rapid decisions and responses are crucial, potentially impacting the quality of client engagement and service delivery. This model also requires seamless collaboration between the relationship manager and experts. In addition, our ability to cross-sell our products (e.g., transitioning clients from OTC trading to structured products) could materially affect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Ability to Competitively Price Products and Services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results depend on our ability to competitively price our products and services. Similar to the industry peers, as the industry evolves, we anticipate some fee pressure. Our strategy is to maintain our position as a trusted brand while developing new products and services to enhance our customer value proposition and offset the effects of any future fee pressure. Maintaining and growing client trust in our brand is critical. In addition, our ability to capture value through the development of new and existing products and services may also affect our operating results and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Regulatory Environment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regulatory environment for digital assets is complex and evolving, presenting both challenges and opportunities that could affect our financial performance. While we are committed to designing products and services that adhere to legal requirements, changes in laws and regulations may influence our ability to onboard customers and offer products across various regions.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our financial prospects and growth depend significantly on our ability to continue to operate in compliance with these regulations. We design our products and services to ensure legal compliance. We maintain operations and hold licenses in multiple jurisdictions, each subject to its own legal framework. We expect to continue to invest significant resources to comply with these regulatory requirements.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generate revenue from digital assets platform and agentic business.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revenue from digital assets platform includes wealth management solutions revenue, execution solutions revenue and payment solutions revenue. Wealth management solutions revenue is mainly generated from finance income and premiums earned on structured products and agency fees. Execution solutions revenue mainly includes the transaction fees from execution services. Payment solutions revenue is generated from the conversion fee of our fiat on/off-ramp services.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agentic business derives revenue from two sources: (i) A-MM, and (ii) marketing and enterprise solutions, comprising online marketing, SaaS products and services under our evolving AI-enabled business model.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shows our revenue breakdown, both in absolute amounts and as percentages of total revenue for the periods presented.</w:t>
      </w:r>
    </w:p>
    <w:p>
      <w:pPr>
        <w:pStyle w:val="TextBody"/>
        <w:bidi w:val="0"/>
        <w:spacing w:before="0" w:after="0"/>
        <w:ind w:left="0" w:right="0" w:hanging="0"/>
        <w:jc w:val="left"/>
        <w:rPr/>
      </w:pPr>
      <w:r>
        <w:rPr/>
        <w:t>​</w:t>
      </w:r>
    </w:p>
    <w:tbl>
      <w:tblPr>
        <w:tblW w:w="7888" w:type="dxa"/>
        <w:jc w:val="center"/>
        <w:tblInd w:w="0" w:type="dxa"/>
        <w:tblLayout w:type="fixed"/>
        <w:tblCellMar>
          <w:top w:w="0" w:type="dxa"/>
          <w:left w:w="0" w:type="dxa"/>
          <w:bottom w:w="0" w:type="dxa"/>
          <w:right w:w="0" w:type="dxa"/>
        </w:tblCellMar>
      </w:tblPr>
      <w:tblGrid>
        <w:gridCol w:w="2836"/>
        <w:gridCol w:w="346"/>
        <w:gridCol w:w="676"/>
        <w:gridCol w:w="346"/>
        <w:gridCol w:w="1081"/>
        <w:gridCol w:w="346"/>
        <w:gridCol w:w="676"/>
        <w:gridCol w:w="346"/>
        <w:gridCol w:w="1081"/>
        <w:gridCol w:w="154"/>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800860" cy="175260"/>
                      <wp:effectExtent l="0" t="0" r="0" b="0"/>
                      <wp:wrapNone/>
                      <wp:docPr id="202" name="Frame202"/>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86435" cy="175260"/>
                      <wp:effectExtent l="0" t="0" r="0" b="0"/>
                      <wp:wrapNone/>
                      <wp:docPr id="206" name="Frame20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260" cy="175260"/>
                      <wp:effectExtent l="0" t="0" r="0" b="0"/>
                      <wp:wrapNone/>
                      <wp:docPr id="208" name="Frame2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86435" cy="175260"/>
                      <wp:effectExtent l="0" t="0" r="0" b="0"/>
                      <wp:wrapNone/>
                      <wp:docPr id="210" name="Frame21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98425" cy="175260"/>
                      <wp:effectExtent l="0" t="0" r="0" b="0"/>
                      <wp:wrapNone/>
                      <wp:docPr id="211" name="Frame21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55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in thousands, except %)</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154" w:type="dxa"/>
            <w:tcBorders/>
            <w:vAlign w:val="center"/>
          </w:tcPr>
          <w:p>
            <w:pPr>
              <w:pStyle w:val="TableContents"/>
              <w:bidi w:val="0"/>
              <w:spacing w:before="0" w:after="0"/>
              <w:ind w:left="0" w:right="0" w:hanging="0"/>
              <w:jc w:val="left"/>
              <w:rPr/>
            </w:pPr>
            <w:r>
              <w:rPr/>
              <w:t>​</w:t>
            </w:r>
          </w:p>
        </w:tc>
      </w:tr>
      <w:tr>
        <w:trPr/>
        <w:tc>
          <w:tcPr>
            <w:tcW w:w="788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52" w:type="dxa"/>
            <w:gridSpan w:val="7"/>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(unaudited)</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Digital Assets Platform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27,801</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83.1</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12,255</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Wealth management solutions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21,462</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9,569</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Execution solutions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solutions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Agentic Revenue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5,654</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11,694</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33,455</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23,949</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cost of revenue mainly consists of interests and premium costs paid to clients, the premium costs associated with managing the risks of the underlying assets of our structured products when acting on a principal basis, customer referral fees, and direct service cost and media cost in connection with agentic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classify our operating expenses into three categories: research and development expenses, sales and marketing expenses, and general and administrative expenses. The following table sets forth our operating expenses, both in absolute amount and as a percentage of our revenue, for the periods presented.</w:t>
      </w:r>
    </w:p>
    <w:p>
      <w:pPr>
        <w:pStyle w:val="TextBody"/>
        <w:bidi w:val="0"/>
        <w:spacing w:before="0" w:after="0"/>
        <w:ind w:left="0" w:right="0" w:firstLine="720"/>
        <w:jc w:val="both"/>
        <w:rPr/>
      </w:pPr>
      <w:r>
        <w:rPr/>
        <w:t>​</w:t>
      </w:r>
    </w:p>
    <w:tbl>
      <w:tblPr>
        <w:tblW w:w="8383" w:type="dxa"/>
        <w:jc w:val="center"/>
        <w:tblInd w:w="0" w:type="dxa"/>
        <w:tblLayout w:type="fixed"/>
        <w:tblCellMar>
          <w:top w:w="0" w:type="dxa"/>
          <w:left w:w="0" w:type="dxa"/>
          <w:bottom w:w="0" w:type="dxa"/>
          <w:right w:w="0" w:type="dxa"/>
        </w:tblCellMar>
      </w:tblPr>
      <w:tblGrid>
        <w:gridCol w:w="3091"/>
        <w:gridCol w:w="346"/>
        <w:gridCol w:w="796"/>
        <w:gridCol w:w="346"/>
        <w:gridCol w:w="1081"/>
        <w:gridCol w:w="346"/>
        <w:gridCol w:w="796"/>
        <w:gridCol w:w="346"/>
        <w:gridCol w:w="1081"/>
        <w:gridCol w:w="15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62785" cy="175260"/>
                      <wp:effectExtent l="0" t="0" r="0" b="0"/>
                      <wp:wrapNone/>
                      <wp:docPr id="212" name="Frame21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05460" cy="175260"/>
                      <wp:effectExtent l="0" t="0" r="0" b="0"/>
                      <wp:wrapNone/>
                      <wp:docPr id="214" name="Frame2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86435" cy="175260"/>
                      <wp:effectExtent l="0" t="0" r="0" b="0"/>
                      <wp:wrapNone/>
                      <wp:docPr id="216" name="Frame21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05460" cy="175260"/>
                      <wp:effectExtent l="0" t="0" r="0" b="0"/>
                      <wp:wrapNone/>
                      <wp:docPr id="218" name="Frame2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86435" cy="175260"/>
                      <wp:effectExtent l="0" t="0" r="0" b="0"/>
                      <wp:wrapNone/>
                      <wp:docPr id="220" name="Frame22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7790" cy="175260"/>
                      <wp:effectExtent l="0" t="0" r="0" b="0"/>
                      <wp:wrapNone/>
                      <wp:docPr id="221" name="Frame2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7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154" w:type="dxa"/>
            <w:tcBorders/>
            <w:vAlign w:val="center"/>
          </w:tcPr>
          <w:p>
            <w:pPr>
              <w:pStyle w:val="TableContents"/>
              <w:bidi w:val="0"/>
              <w:spacing w:before="0" w:after="0"/>
              <w:ind w:left="0" w:right="0" w:hanging="0"/>
              <w:jc w:val="left"/>
              <w:rPr/>
            </w:pPr>
            <w:r>
              <w:rPr/>
              <w:t>​</w:t>
            </w:r>
          </w:p>
        </w:tc>
      </w:tr>
      <w:tr>
        <w:trPr/>
        <w:tc>
          <w:tcPr>
            <w:tcW w:w="3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in thousands, except %)</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154" w:type="dxa"/>
            <w:tcBorders/>
            <w:vAlign w:val="center"/>
          </w:tcPr>
          <w:p>
            <w:pPr>
              <w:pStyle w:val="TableContents"/>
              <w:bidi w:val="0"/>
              <w:spacing w:before="0" w:after="0"/>
              <w:ind w:left="0" w:right="0" w:hanging="0"/>
              <w:jc w:val="center"/>
              <w:rPr/>
            </w:pPr>
            <w:r>
              <w:rPr/>
              <w:t>​</w:t>
            </w:r>
          </w:p>
        </w:tc>
      </w:tr>
      <w:tr>
        <w:trPr/>
        <w:tc>
          <w:tcPr>
            <w:tcW w:w="838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2" w:type="dxa"/>
            <w:gridSpan w:val="7"/>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(unaudited)</w:t>
            </w:r>
          </w:p>
        </w:tc>
        <w:tc>
          <w:tcPr>
            <w:tcW w:w="154"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(3,102)</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154"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(14,279)</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(25,470)</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(76.1)</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(20,009)</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Research and development expenses. </w:t>
            </w:r>
            <w:r>
              <w:rPr>
                <w:rFonts w:ascii="Times New Roman;Times;serif" w:hAnsi="Times New Roman;Times;serif"/>
                <w:b w:val="false"/>
                <w:i w:val="false"/>
                <w:caps w:val="false"/>
                <w:smallCaps w:val="false"/>
                <w:sz w:val="20"/>
              </w:rPr>
              <w:t>Our research and development expenses primarily consist of technology infrastructure expenses, software services expenses incurred in operating, maintaining, and enhancing our platform and in developing new products and services.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Sales and marketing expenses. </w:t>
            </w:r>
            <w:r>
              <w:rPr>
                <w:rFonts w:ascii="Times New Roman;Times;serif" w:hAnsi="Times New Roman;Times;serif"/>
                <w:b w:val="false"/>
                <w:i w:val="false"/>
                <w:caps w:val="false"/>
                <w:smallCaps w:val="false"/>
                <w:sz w:val="20"/>
              </w:rPr>
              <w:t>Our sales and marketing expenses primarily consist of (i) salary and welfare expenses, and (ii) branding, marketing and promotional costs.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General and administrative expenses. </w:t>
            </w:r>
            <w:r>
              <w:rPr>
                <w:rFonts w:ascii="Times New Roman;Times;serif" w:hAnsi="Times New Roman;Times;serif"/>
                <w:b w:val="false"/>
                <w:i w:val="false"/>
                <w:caps w:val="false"/>
                <w:smallCaps w:val="false"/>
                <w:sz w:val="20"/>
              </w:rPr>
              <w:t>Our general and administrative expenses primarily consist of personnel expenses, legal, audit and other professional service fees.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Finance Income, Net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finance income consists of interest income on cash and cash equivalents and loan receivables. Our finance costs consist of interest expense on bank borrowings and lease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Gains/(Losses), Net</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other gains/(losses), net consists of realized and unrealized fair value changes of digital assets, fair value changes on crypto assets loan receivables, the write-off of certain other payables, fair value gain on financial assets at fair value through profit or loss, dividend income from investment, government grants, and foreign currency exchange difference, net.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The following table sets forth our unaudited condensed consolidated statements of profit or loss for the periods indicated: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5457"/>
        <w:gridCol w:w="346"/>
        <w:gridCol w:w="767"/>
        <w:gridCol w:w="346"/>
        <w:gridCol w:w="891"/>
        <w:gridCol w:w="346"/>
        <w:gridCol w:w="767"/>
        <w:gridCol w:w="346"/>
        <w:gridCol w:w="939"/>
      </w:tblGrid>
      <w:tr>
        <w:trPr/>
        <w:tc>
          <w:tcPr>
            <w:tcW w:w="5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465195" cy="175260"/>
                      <wp:effectExtent l="0" t="0" r="0" b="0"/>
                      <wp:wrapNone/>
                      <wp:docPr id="222" name="Frame222"/>
                      <a:graphic xmlns:a="http://schemas.openxmlformats.org/drawingml/2006/main">
                        <a:graphicData uri="http://schemas.microsoft.com/office/word/2010/wordprocessingShape">
                          <wps:wsp>
                            <wps:cNvSpPr txBox="1"/>
                            <wps:spPr>
                              <a:xfrm>
                                <a:off x="0" y="0"/>
                                <a:ext cx="3465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87045" cy="175260"/>
                      <wp:effectExtent l="0" t="0" r="0" b="0"/>
                      <wp:wrapNone/>
                      <wp:docPr id="224" name="Frame224"/>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65785" cy="175260"/>
                      <wp:effectExtent l="0" t="0" r="0" b="0"/>
                      <wp:wrapNone/>
                      <wp:docPr id="226" name="Frame226"/>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87045" cy="175260"/>
                      <wp:effectExtent l="0" t="0" r="0" b="0"/>
                      <wp:wrapNone/>
                      <wp:docPr id="228" name="Frame22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96265" cy="175260"/>
                      <wp:effectExtent l="0" t="0" r="0" b="0"/>
                      <wp:wrapNone/>
                      <wp:docPr id="230" name="Frame230"/>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40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545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in thousands)</w:t>
            </w:r>
          </w:p>
        </w:tc>
        <w:tc>
          <w:tcPr>
            <w:tcW w:w="346" w:type="dxa"/>
            <w:tcBorders/>
            <w:vAlign w:val="center"/>
          </w:tcPr>
          <w:p>
            <w:pPr>
              <w:pStyle w:val="TableContents"/>
              <w:bidi w:val="0"/>
              <w:spacing w:before="0" w:after="0"/>
              <w:ind w:left="0" w:right="0" w:hanging="0"/>
              <w:jc w:val="left"/>
              <w:rPr/>
            </w:pPr>
            <w:r>
              <w:rPr/>
              <w:t>  ​ ​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6" w:type="dxa"/>
            <w:tcBorders/>
            <w:vAlign w:val="center"/>
          </w:tcPr>
          <w:p>
            <w:pPr>
              <w:pStyle w:val="TableContents"/>
              <w:bidi w:val="0"/>
              <w:spacing w:before="0" w:after="0"/>
              <w:ind w:left="0" w:right="0" w:hanging="0"/>
              <w:jc w:val="left"/>
              <w:rPr/>
            </w:pPr>
            <w:r>
              <w:rPr/>
              <w:t>  ​ ​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54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402" w:type="dxa"/>
            <w:gridSpan w:val="7"/>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(unaudited)</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33,455</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23,949</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(7,924)</w:t>
            </w:r>
          </w:p>
        </w:tc>
        <w:tc>
          <w:tcPr>
            <w:tcW w:w="346" w:type="dxa"/>
            <w:tcBorders/>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(6,097)</w:t>
            </w:r>
          </w:p>
        </w:tc>
        <w:tc>
          <w:tcPr>
            <w:tcW w:w="346" w:type="dxa"/>
            <w:tcBorders/>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25,531</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17,852</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pPr>
            <w:r>
              <w:rPr/>
              <w:t>​</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(3,102)</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w:t>
            </w:r>
          </w:p>
        </w:tc>
        <w:tc>
          <w:tcPr>
            <w:tcW w:w="34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w:t>
            </w:r>
          </w:p>
        </w:tc>
        <w:tc>
          <w:tcPr>
            <w:tcW w:w="34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(14,279)</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(12,453)</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(25,470)</w:t>
            </w:r>
          </w:p>
        </w:tc>
        <w:tc>
          <w:tcPr>
            <w:tcW w:w="346" w:type="dxa"/>
            <w:tcBorders/>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(20,009)</w:t>
            </w:r>
          </w:p>
        </w:tc>
        <w:tc>
          <w:tcPr>
            <w:tcW w:w="346" w:type="dxa"/>
            <w:tcBorders/>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income/(loss)</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 net</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gains/(losses), net</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from continuing operations before share of loss from an equity investee and income tax expense</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c>
          <w:tcPr>
            <w:tcW w:w="34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w:t>
            </w:r>
          </w:p>
        </w:tc>
        <w:tc>
          <w:tcPr>
            <w:tcW w:w="34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from continuing operations attributable to the Company’s ordinary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Discontinued operations</w:t>
            </w:r>
          </w:p>
        </w:tc>
        <w:tc>
          <w:tcPr>
            <w:tcW w:w="346"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pPr>
            <w:r>
              <w:rPr/>
              <w:t>​</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from discontinued operations attributable to the Company’s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4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w:t>
            </w:r>
          </w:p>
        </w:tc>
        <w:tc>
          <w:tcPr>
            <w:tcW w:w="346" w:type="dxa"/>
            <w:tcBorders/>
            <w:vAlign w:val="center"/>
          </w:tcPr>
          <w:p>
            <w:pPr>
              <w:pStyle w:val="TableContents"/>
              <w:bidi w:val="0"/>
              <w:spacing w:before="0" w:after="0"/>
              <w:ind w:left="0" w:right="0" w:hanging="0"/>
              <w:jc w:val="left"/>
              <w:rPr/>
            </w:pPr>
            <w:r>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346" w:type="dxa"/>
            <w:tcBorders/>
            <w:vAlign w:val="center"/>
          </w:tcPr>
          <w:p>
            <w:pPr>
              <w:pStyle w:val="TableContents"/>
              <w:bidi w:val="0"/>
              <w:spacing w:before="0" w:after="0"/>
              <w:ind w:left="0" w:right="0" w:hanging="0"/>
              <w:jc w:val="left"/>
              <w:rPr/>
            </w:pPr>
            <w:r>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545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attributable to Company’s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w:t>
            </w:r>
          </w:p>
        </w:tc>
        <w:tc>
          <w:tcPr>
            <w:tcW w:w="346" w:type="dxa"/>
            <w:tcBorders/>
            <w:shd w:fill="CCEEFF" w:val="clear"/>
            <w:vAlign w:val="center"/>
          </w:tcPr>
          <w:p>
            <w:pPr>
              <w:pStyle w:val="TableContents"/>
              <w:bidi w:val="0"/>
              <w:spacing w:before="0" w:after="0"/>
              <w:ind w:left="0" w:right="0" w:hanging="0"/>
              <w:jc w:val="left"/>
              <w:rPr/>
            </w:pPr>
            <w:r>
              <w:rPr/>
              <w:t>​</w:t>
            </w:r>
          </w:p>
        </w:tc>
        <w:tc>
          <w:tcPr>
            <w:tcW w:w="8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346" w:type="dxa"/>
            <w:tcBorders/>
            <w:shd w:fill="CCEEFF" w:val="clear"/>
            <w:vAlign w:val="center"/>
          </w:tcPr>
          <w:p>
            <w:pPr>
              <w:pStyle w:val="TableContents"/>
              <w:bidi w:val="0"/>
              <w:spacing w:before="0" w:after="0"/>
              <w:ind w:left="0" w:right="0" w:hanging="0"/>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18"/>
        </w:rPr>
      </w:pPr>
      <w:bookmarkStart w:id="1246" w:name="_Hlk239787687"/>
      <w:bookmarkEnd w:id="1246"/>
      <w:r>
        <w:rPr>
          <w:rFonts w:ascii="Times New Roman;Times;serif" w:hAnsi="Times New Roman;Times;serif"/>
          <w:sz w:val="18"/>
        </w:rPr>
        <w:t>On March 12, 2025, iClick Interactive Asia Group Limited (“iClick”) completed its merger (the “Merger”) with Amber DWM Holding Limited (“Amber DWM”). The Merger is accounted for as a reverse acquisition for accounting purposes. Accordingly, the Merger is treated as the equivalent of Amber DWM issuing shares for the acquisition of iClick, accompanied by a recapitalization, for accounting purposes. The financial results of iClick have been included in our consolidated financial results since March 12,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Certain operations were classified as held-for-sale starting from the second half of 2025, and we completed one of the disposals in October 2025. The disposed business was deconsolidated from the Company upon the respective disposal and the results of the held-for-sale and disposed businesses are reflected in the consolidated financial statements as discontinued operations accordingly.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 June 30, 2026 Compared to Six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Revenue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Our revenue decreased from US$33.5 million for the six months ended June 30, 2025 to US$23.9 million for the six months ended June 30, 2026, with digital assets platform revenue influenced by materially softer digital asset market environment.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Our revenue from wealth management solutions decreased from US$21.5 million for the six months ended June 30, 2025 to US$9.6 million for the six months ended June 30, 2026, primarily attributable to the absence of a non-recurring service fee recognized in the prior-year period, and lower Earn revenue. The lower Earn revenue reflected our disciplined balance sheet management: we proactively lowered the yields offered to customers to right-size our Earn deposit base, prioritizing capital efficiency and risk management over near-term revenue. The decline was compounded by lower prevailing prices of major digital assets, which reduced the U.S. dollar value of the Earn deposit base and the revenue generated from it.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Our revenue from execution solutions decreased from US$4.7 million for the six months ended June 30, 2025 to US$1.6 million for the six months ended June 30, 2026, reflecting a pronounced industry-wide contraction in trading volumes with a lower realized fee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revenue from payment solutions decreased from US$1.7 million for the six months ended June 30, 2025 to US$1.1 million for the six months ended June 30, 2026, resulting from market-driven fluctuations, partially offset by the ongoing structural growth in stablecoin-based payment flows for risk-off positioning and treasury management.</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agentic revenue increased significantly from US$5.7 million for the six months ended June 30, 2025 to US$11.7 million for the six months ended June 30, 2026, mainly driven by (i) our A-MM, the first flagship component of the Company’s A-Suite agent-native liquidity operations system and designated market-making infrastructure platform which offers integrated technology, platform and operational services. It started generating revenue from the second quarter of 2026, establishing a strategic new growth driver and advancing our ongoing AI adoption, and (ii) full period revenue contribution from marketing and enterprise solutions in 2026.</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cost of revenue decreased from US$7.9 million for the six months ended June 30, 2025 to US$6.1 million for the six months ended June 30, 2026, largely in line with the change in revenue.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Profit and Gross Profit Margin</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a result of the above, our gross profit decreased from US$25.5 million for the six months ended June 30, 2025 to US$17.9 million for the six months ended June 30, 2026. Our gross profit margin slightly declined from 76.3% to 74.5% during the same periods, reflecting mix dynamics, with our structured products representing a higher share of revenue. We remain focused on advancing long-term growth across all product lines in digital assets platform and higher-margin agentic business.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total operating expenses decreased from US$25.5 million for the six months ended June 30, 2025 to US$20.0 million for the six months ended June 30, 2026.</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research and development expenses decreased from US$8.0 million for the six months ended June 30, 2025 to US$3.1 million for the six months ended June 30, 2026. The decrease was primarily due to the completion of certain product and platform development initiatives in 2025. The Company continued to enhance and develop new products and services this year.</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sales and marketing expenses increased from US$3.2 million for the six months ended June 30, 2025 to US$4.5 million for the six months ended June 30, 2026. The increase reflected the full-period impact of marketing and enterprise solutions which was consolidated since March 12, 2025, partially offset by cost savings from AI-enhanced process optimization, in order to transition the business toward an AI-driven operating model.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general and administrative expenses decreased from US$14.3 million for the six months ended June 30, 2025 to US$12.5 million for the six months ended June 30, 2026, primarily driven by lower share-based compensation, absence of one-off merger-related legal and professional fees incurred in the prior-year period, and lower professional service fees associated with post-merger integration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Finance Income, Net</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finance income, net increased to US$0.2 million for the six months ended June 30, 2026, from US$50 thousand in the prior-year period, benefiting from higher interest income generated from a stronger cash position.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Gains/(Losses), Net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losses, net was US$0.2 million for the six months ended June 30, 2026, compared to other gains, net of US$1.6 million for the six months ended June 30, 2025. The change was due to decrease in fair value gain on crypto assets loan receivables and financial assets at fair value through profit or loss, following the disposal of US listed equity security in 2025. This was partially offset by a more favorable unrealized fair value movement in digital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Share of losses from an equity investee</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It represented net losses from our joint venture with VGI Global Media Plc in Thailand.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i/>
          <w:sz w:val="20"/>
        </w:rPr>
        <w:t>Income</w:t>
      </w:r>
      <w:r>
        <w:rPr>
          <w:rFonts w:ascii="Times New Roman;Times;serif" w:hAnsi="Times New Roman;Times;serif"/>
          <w:sz w:val="18"/>
        </w:rPr>
        <w:t xml:space="preserve"> </w:t>
      </w:r>
      <w:r>
        <w:rPr>
          <w:rFonts w:ascii="Times New Roman;Times;serif" w:hAnsi="Times New Roman;Times;serif"/>
          <w:b/>
          <w:i/>
          <w:sz w:val="20"/>
        </w:rPr>
        <w:t>Tax Expense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incurred income tax expense of US$59 thousand for the six months ended June 30, 2026, mainly attributable to the tax on the reimbursement from depositary.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Income/(Loss) from continuing operations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recorded net loss from continuing operations of US$2.3 million for the six months ended June 30, 2026, compared to net income of US$1.7 million in the prior-year period.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reporting period, our principal sources of liquidity have been cash generated from our operating activities, and advances from related companies. As of June 30, 2026, we had US$34.2 million in cash and cash equivalents, time deposits and restricted cash, which primarily consisted of bank balances that are readily convertible to known amounts of cash and subject to insignificant risk of changes in value. We closely monitor our cash balance and future payments obligations by preparing monthly management account and regular fund reports to provide a timely overview of our overall cash position and liquidity and risk control measurements. Such reports are reviewed by the management. In addition, we have adopted a stringent cash management policy. We also regularly monitor our current and expected liquidity requirements to ensure that we maintain sufficient cash balances to meet our liquidity needs.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and Working Capital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p>
      <w:pPr>
        <w:pStyle w:val="TextBody"/>
        <w:bidi w:val="0"/>
        <w:spacing w:before="0" w:after="0"/>
        <w:ind w:left="0" w:right="0" w:firstLine="720"/>
        <w:jc w:val="left"/>
        <w:rPr/>
      </w:pPr>
      <w:r>
        <w:rPr/>
        <w:t>​</w:t>
      </w:r>
    </w:p>
    <w:tbl>
      <w:tblPr>
        <w:tblW w:w="7472" w:type="dxa"/>
        <w:jc w:val="center"/>
        <w:tblInd w:w="0" w:type="dxa"/>
        <w:tblLayout w:type="fixed"/>
        <w:tblCellMar>
          <w:top w:w="0" w:type="dxa"/>
          <w:left w:w="0" w:type="dxa"/>
          <w:bottom w:w="0" w:type="dxa"/>
          <w:right w:w="0" w:type="dxa"/>
        </w:tblCellMar>
      </w:tblPr>
      <w:tblGrid>
        <w:gridCol w:w="4456"/>
        <w:gridCol w:w="346"/>
        <w:gridCol w:w="1015"/>
        <w:gridCol w:w="508"/>
        <w:gridCol w:w="1147"/>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829560" cy="175260"/>
                      <wp:effectExtent l="0" t="0" r="0" b="0"/>
                      <wp:wrapNone/>
                      <wp:docPr id="231" name="Frame231"/>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4525" cy="175260"/>
                      <wp:effectExtent l="0" t="0" r="0" b="0"/>
                      <wp:wrapNone/>
                      <wp:docPr id="233" name="Frame233"/>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22580" cy="175260"/>
                      <wp:effectExtent l="0" t="0" r="0" b="0"/>
                      <wp:wrapNone/>
                      <wp:docPr id="234" name="Frame234"/>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28980" cy="175260"/>
                      <wp:effectExtent l="0" t="0" r="0" b="0"/>
                      <wp:wrapNone/>
                      <wp:docPr id="235" name="Frame235"/>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67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4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in thousands)</w:t>
            </w:r>
          </w:p>
        </w:tc>
        <w:tc>
          <w:tcPr>
            <w:tcW w:w="346" w:type="dxa"/>
            <w:tcBorders/>
            <w:vAlign w:val="center"/>
          </w:tcPr>
          <w:p>
            <w:pPr>
              <w:pStyle w:val="TableContents"/>
              <w:bidi w:val="0"/>
              <w:spacing w:before="0" w:after="0"/>
              <w:ind w:left="0" w:right="0" w:hanging="0"/>
              <w:jc w:val="left"/>
              <w:rPr/>
            </w:pPr>
            <w:r>
              <w:rPr/>
              <w:t>  ​ ​ ​</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08" w:type="dxa"/>
            <w:tcBorders/>
            <w:vAlign w:val="center"/>
          </w:tcPr>
          <w:p>
            <w:pPr>
              <w:pStyle w:val="TableContents"/>
              <w:bidi w:val="0"/>
              <w:spacing w:before="0" w:after="0"/>
              <w:ind w:left="0" w:right="0" w:hanging="0"/>
              <w:jc w:val="left"/>
              <w:rPr/>
            </w:pPr>
            <w:r>
              <w:rPr/>
              <w:t>  ​ ​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472"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670" w:type="dxa"/>
            <w:gridSpan w:val="3"/>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(unaudited)</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Consolidated Cash Flow Data:</w:t>
            </w:r>
          </w:p>
        </w:tc>
        <w:tc>
          <w:tcPr>
            <w:tcW w:w="346"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pPr>
            <w:r>
              <w:rPr/>
              <w:t>  ​</w:t>
            </w:r>
          </w:p>
        </w:tc>
        <w:tc>
          <w:tcPr>
            <w:tcW w:w="508"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pPr>
            <w:r>
              <w:rPr/>
              <w:t>  ​</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in)/generated from operating activities</w:t>
            </w:r>
          </w:p>
        </w:tc>
        <w:tc>
          <w:tcPr>
            <w:tcW w:w="346"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(4,097)</w:t>
            </w:r>
          </w:p>
        </w:tc>
        <w:tc>
          <w:tcPr>
            <w:tcW w:w="508"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17,919</w:t>
            </w:r>
          </w:p>
        </w:tc>
        <w:tc>
          <w:tcPr>
            <w:tcW w:w="508"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from/(used in) financing activities</w:t>
            </w:r>
          </w:p>
        </w:tc>
        <w:tc>
          <w:tcPr>
            <w:tcW w:w="346"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508"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(5,422)</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bank balances</w:t>
            </w:r>
          </w:p>
        </w:tc>
        <w:tc>
          <w:tcPr>
            <w:tcW w:w="346"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16,613</w:t>
            </w:r>
          </w:p>
        </w:tc>
        <w:tc>
          <w:tcPr>
            <w:tcW w:w="508"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bank balances at beginning of period</w:t>
            </w:r>
          </w:p>
        </w:tc>
        <w:tc>
          <w:tcPr>
            <w:tcW w:w="346"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9,326</w:t>
            </w:r>
          </w:p>
        </w:tc>
        <w:tc>
          <w:tcPr>
            <w:tcW w:w="508"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29,895</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exchange rate changes on bank balances</w:t>
            </w:r>
          </w:p>
        </w:tc>
        <w:tc>
          <w:tcPr>
            <w:tcW w:w="346"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508"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bank balances at end of period</w:t>
            </w:r>
          </w:p>
        </w:tc>
        <w:tc>
          <w:tcPr>
            <w:tcW w:w="346"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25,827</w:t>
            </w:r>
          </w:p>
        </w:tc>
        <w:tc>
          <w:tcPr>
            <w:tcW w:w="508"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30,186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generated from operating activities for the six months ended June 30, 2026 of US$1.0 million was primarily related to net increase in working capital of US$4.0 million, partially offset by net loss before tax of US$2.2 million and non-cash items of negative US$0.8 million. The net increase in working capital was primarily attributable to the crypto assets used for operations of US$9.0 million and decrease in trade and other receivables of US$4.3 million during the period, partially offset by change of balances with related parties of US$6.8 million and decrease in trade and other payables of US$2.1 million. The non-cash items mainly consisted of net income received or settled in digital assets of US$2.4 million, partially offset by unrealized fair value changes on amount due to related parties denominated in digital assets of US$1.1 million, and depreciation and amortization of US$0.8 million.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2025 of US$4.1 million was primarily related to net decrease in working capital of US$4.5 million and non-cash items of negative US$1.3 million, partially offset by net income before tax of US$1.6 million. The net decrease in working capital was primarily attributable to the decrease in trade and other payables of US$4.6 million and change of balances with related parties of US$4.3 million during the period, partially offset by the crypto assets used for operations of US$3.2 million. The non-cash items mainly consisted of net income received or settled in digital assets of US$2.1 million, fair value changes on derivative contract of US$1.3 million, and fair value gain on financial asset at fair value through profits or loss of US$0.9 million, partially offset by unrealized fair value changes on amount due to related parties denominated in digital assets of US$1.5 million, share based compensation of US$0.8 million and depreciation and amortization of US$0.6 million.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generated from investing activities for the six months ended June 30, 2026 of US$5.1 million was primarily attributable to the divestments of financial assets at fair value through profit or loss amounting to US$2.9 million, and US$2.4 million disposal of crypto assets held for investment purpose.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generated from investing activities for the six months ended June 30, 2025 of US$17.9 million was primarily attributable to the net cash acquired from business combination of US$18.2 million and US$2.1 million disposal of crypto assets held for investment purpose, partially offset by advances to related parties amounting to US$1.3 million, and investments of financial assets at fair value through profit or loss amounting to US$1.1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for the six months ended June 30, 2026 of US$5.4 million was primarily attributable to share repurchase amounting to US$4.9 million.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generated from financing activities for the six months ended June 30, 2025 of US$2.8 million was primarily attributable to proceeds from related parties, net of US$2.5 million, and proceeds from bank borrowings of US$2.7 million, partially offset by repayment of bank borrowings of US$2.0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Credit Facilities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the following legacy credit facilities from iClick:</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October 2019, certain subsidiaries of iClick entered into a one-year facility agreement for working capital loans with a commercial bank, which was amended in March 2024 to provide for (a) US$7.5 million combined limit for pre-shipment buyer loan and post-shipment buyer loan, (b) US$0.5 million overdraft facilities. We provide corporate guarantee and bank deposits as pledge to secure our obligations under these loan facilities. For the pre-shipment buyer loan and post-shipment buyer loan, the interest rate is at either (a) HIBOR plus 3.85% per annum if the loan is drawn down in HK$, or (b) 3.95% over US$ reference rate per annum if the loan is drawn down in US$. For the overdraft facility, the interest rate is at the bank’s best lending rate. We had no outstanding balance under these loan facilities as of June 30,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no financial covenants as set out in these loan agreements were breached.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than those shown above, we did not have any significant capital and other commitments, long-term obligations, or guarantees as of June 30, 2026.</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Capital Expenditures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made capital expenditures of US$0.1 million and US$0.4 million in the six months ended June 30, 2025 and six months ended June 30, 2026, respectively. We will continue to make capital expenditures to support our business growth.</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Material Cash Requirements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June 30, 2026 and any subsequent interim period primarily include our operating lease obligations, which primarily represent our obligations for leasing office premises.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contractual obligations and commitments as of June 30, 2026:</w:t>
      </w:r>
    </w:p>
    <w:p>
      <w:pPr>
        <w:pStyle w:val="TextBody"/>
        <w:bidi w:val="0"/>
        <w:spacing w:before="0" w:after="0"/>
        <w:ind w:left="0" w:right="0" w:hanging="0"/>
        <w:jc w:val="both"/>
        <w:rPr/>
      </w:pPr>
      <w:r>
        <w:rPr/>
        <w:t>​</w:t>
      </w:r>
    </w:p>
    <w:tbl>
      <w:tblPr>
        <w:tblW w:w="6864" w:type="dxa"/>
        <w:jc w:val="left"/>
        <w:tblInd w:w="0" w:type="dxa"/>
        <w:tblLayout w:type="fixed"/>
        <w:tblCellMar>
          <w:top w:w="0" w:type="dxa"/>
          <w:left w:w="0" w:type="dxa"/>
          <w:bottom w:w="0" w:type="dxa"/>
          <w:right w:w="0" w:type="dxa"/>
        </w:tblCellMar>
      </w:tblPr>
      <w:tblGrid>
        <w:gridCol w:w="1486"/>
        <w:gridCol w:w="346"/>
        <w:gridCol w:w="781"/>
        <w:gridCol w:w="346"/>
        <w:gridCol w:w="946"/>
        <w:gridCol w:w="346"/>
        <w:gridCol w:w="1156"/>
        <w:gridCol w:w="346"/>
        <w:gridCol w:w="1111"/>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943610" cy="175260"/>
                      <wp:effectExtent l="0" t="0" r="0" b="0"/>
                      <wp:wrapNone/>
                      <wp:docPr id="236" name="Frame23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95935" cy="175260"/>
                      <wp:effectExtent l="0" t="0" r="0" b="0"/>
                      <wp:wrapNone/>
                      <wp:docPr id="238" name="Frame2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00710" cy="175260"/>
                      <wp:effectExtent l="0" t="0" r="0" b="0"/>
                      <wp:wrapNone/>
                      <wp:docPr id="240" name="Frame24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34060" cy="175260"/>
                      <wp:effectExtent l="0" t="0" r="0" b="0"/>
                      <wp:wrapNone/>
                      <wp:docPr id="242" name="Frame24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05485" cy="175260"/>
                      <wp:effectExtent l="0" t="0" r="0" b="0"/>
                      <wp:wrapNone/>
                      <wp:docPr id="244" name="Frame24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demand or</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Within 2 to 5</w:t>
            </w:r>
          </w:p>
        </w:tc>
      </w:tr>
      <w:tr>
        <w:trPr/>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in thousands)</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346"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within 1 year</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46"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activities expose us to a variety of financial risks from our operation. The key financial risks include credit risk, liquidity risk and market risk (including foreign currency risk, digital asset price risk, risks associated with the storage and protection of digital assets and investment risk related to trading of digital assets).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Foreign currency risk arises from cash flows from transactions denominated in foreign currencies. We have transactional currency exposures arising from sales or purchases that are denominated in a currency other than the functional currency, primarily Singapore Dollar (“SGD”). If the U.S. dollar appreciates against the SGD by 5%, our profit would decrease by approximately US$1,000 in the six months ended June 30, 2026. We do not have any formal policy for hedging against currency risk. The value of the SGD against the U.S. dollar and other currencies may fluctuate and is affected by, among other things, changes in economic conditions in Singapore and the U.S. and by Singapore’s foreign exchange policies.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the extent that we need to convert the U.S. dollars into SGD for our operations, appreciation of SGD against the U.S. dollar would reduce the SGD amount we receive from the conversion. Conversely, if we decide to convert SGD into the U.S. dollars for the purpose of making payments for dividends on our ordinary shares or ADSs, servicing our outstanding debts, or for other business purposes, appreciation of the U.S. dollar against the SGD would reduce the U.S. dollar amounts available to us.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of our operating activities are transacted in Hong Kong dollars. We consider the foreign exchange risk in relation to transactions denominated in Hong Kong dollars with respect to the U.S. dollars to be not significant as HK dollar is pegged to the U.S. dollar.</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Digital Assets Price Risk</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Crypto asset risk is the risk that future profit and financial position will fluctuate because of changes in the price of crypto assets. Digital assets that we deal with in our trading activities are digital assets such as BTC and ETH which can be traded in a number of public exchanges.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exposure to price risk arises from digital assets and digital assets payables which are both measured on a fair value basis. In particular, our operating result may depend upon the market price of BTC and ETH, as well as other digital assets. If the price of BTC and ETH were to rise by 30%, our profit would increase by approximately US$266,000, and decrease by US$119,000 in the six months ended June 30, 2026, respectively. Digital asset prices have fluctuated significantly from time to time. There is no assurance that digital asset prices will reflect historical trends.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price risk of digital assets arising from trading of digital assets business is partially offset by remeasurement of digital assets payables representing the obligations to deliver digital assets held by us in the customers’ accounts to the customers under the respective trading arrangements with us.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Associated with Storage and Protection of Digital Assets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primarily store our digital assets with cryptocurrency custodians to facilitate customers deposits and withdrawals. Due to the lack of an insurance policy for our digital assets, any disruptions or closures of cryptocurrency custodians, as well as potential cyber-attacks or thefts, could result in substantial losses for us.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Investment Risk Related to Trading of Digital Assets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follow a fully hedged strategy for structured products. Each user-facing structured product is quoted by a counterparty and a spread is added before it is quoted to clients. Therefore, there is no exposure to structured products.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discussion and analysis of our financial condition and results of operations relates to our consolidated financial statements, which have been prepared in accordance with the International Financial Reporting Standards (“IFRS”) issued by the International Accounting Standards Board.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Changes in estimates used in these and other items could have a material impact on our financial statements.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a detailed discussion of our significant accounting policies and related judgments, see “Notes to the Consolidated Financial Statements – Note 2. Material accounting policy information” contained in our Form 20-F.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accounting estimates relate to the significant areas involving management’s judgments and estimates in the preparation of our financial statements, and are those that management believes are the most critical to aid the understanding and evaluation of this management discussion and analysis: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Derivative Financial Instrument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Derivative financial instruments are measured at fair value at initial recognition and designated to be measured subsequently at fair value through profit or loss. The fair value measurement of the call and put options and dual currency contracts is determined using the Black-Scholes option pricing model and Monte Carlo simulation model and involves significant management judgment and estimation uncertainty. These valuation models require the use of significant unobservable inputs and assumptions, including expected volatility, correlation assumptions, simulation outcomes, and contractual time to maturity.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Management determines the expected volatility based on the historical price volatility of the underlying digital assets over a period corresponding to the remaining contractual maturity of the instruments. The estimated volatility is used as a key input in the valuation models to simulate potential future price movements of the underlying digital assets and determine the fair value of the instruments. However, digital asset markets are inherently volatile and subject to significant price fluctuations. Accordingly, historical price volatility may not be indicative of future market performance and actual outcomes may differ materially from management’s estimates. Any significant changes in digital asset prices, market conditions, or valuation assumptions could result in a material change in the fair value measurement of these financial instruments.</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Impairment of Goodwill</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Goodwill is not amortized but it is tested for impairment annually, or more frequently if events or changes in circumstances indicate that it might be impaired, and is carried at cost less accumulated impairment losses. Gains and losses on the disposal of an entity include the carrying amount of goodwill relating to the entity sold.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Goodwill is allocated to each of the cash-generating units (“CGU”s) for the purpose of impairment testing. The allocation is made to those CGUs or groups of CGUs that are expected to benefit from the business combination in which the goodwill arose. The units or groups of units are identified at the lowest level at which goodwill is monitored for internal management purposes, below the operating segment.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two reporting units, which include (i) Sparrow Group and (ii) iClick Group. Our consolidated goodwill balance was US$53.1 million as of June 30, 2026, and the goodwill associated with the Sparrow Group and iClick Group was US$16.7 million and US$36.4 million, respectively.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Determining whether goodwill is impaired requires the measurement of the recoverable amount of the cash-generating units (“CGU”) based on an estimation of the value-in-use of the CGU to which goodwill has been allocated. The value-in-use calculation requires the entity to estimate the future cash flows expected to arise from the CGU derived from long-term forecasts which included a future cash flow projection and an estimated terminal value, and a suitable discount rate in order to calculate present value. The cash flow projection is based on management’s most recent view of the long-term outlook in order to come up with growth rates, the estimated terminal value using a terminal year long-term future growth rate, discount rates, and other assumptions deemed reasonable by management. Inherent in our development of cash flow projections are assumptions and estimates derived from a review of our operating results, business plan forecasts, expected growth rates, and risk adjusted discount rates, similar to those a market participant would use to assess value-in-use. We also make certain assumptions about future economic conditions and other data. Many of the factors used in assessing value-in-use are outside the control of management, and these assumptions and estimates may change in future periods. Changes in assumptions or estimates can materially affect the value-in-use measurement of CGU and, therefore, can affect the test results.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 impairment loss was recognized during the six months ended June 30, 2025 and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13862</Words>
  <Characters>80159</Characters>
  <CharactersWithSpaces>96081</CharactersWithSpaces>
  <Paragraphs>5638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