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-229870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-669290</wp:posOffset>
            </wp:positionV>
            <wp:extent cx="124460" cy="124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5277485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4000500</wp:posOffset>
            </wp:positionH>
            <wp:positionV relativeFrom="paragraph">
              <wp:posOffset>-634365</wp:posOffset>
            </wp:positionV>
            <wp:extent cx="58420" cy="647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754380</wp:posOffset>
            </wp:positionV>
            <wp:extent cx="7045960" cy="5466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6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IP WING WAI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 WALLICH STREET, #30-02 GUOCO TOWER,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Amber International Holding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AMBR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" w:right="600" w:hanging="4"/>
        <w:spacing w:after="0" w:line="26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60" w:space="340"/>
            <w:col w:w="3580" w:space="256"/>
            <w:col w:w="3344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SINGAPORE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U0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078881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shares, par value $0.001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0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7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par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6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06/24/2026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3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560" w:type="dxa"/>
            <w:vAlign w:val="bottom"/>
          </w:tcPr>
          <w:p>
            <w:pPr>
              <w:jc w:val="center"/>
              <w:ind w:left="313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jc w:val="center"/>
              <w:ind w:left="31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jc w:val="center"/>
              <w:ind w:left="31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jc w:val="center"/>
              <w:ind w:left="3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represent the vesting of restricted stock units ("RSUs") under the Issuer's Post-IPO Share Incentive Plan. RSUs are converted into Class A ordinary shares on a one-for-one basis.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4"/>
        <w:spacing w:after="0" w:line="260" w:lineRule="auto"/>
        <w:tabs>
          <w:tab w:leader="none" w:pos="17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previously disclosed, RSUs would be vested in three equal annual installments of 1,000 Class A ordinary shares on June 24, 2026, June 24, 2027 and June 24, 2028 pursuant to the Issuer's Post-IPO Share Incentive Plan.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Wing Wai Winson 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06/24/2026</w:t>
            </w:r>
          </w:p>
        </w:tc>
      </w:tr>
      <w:tr>
        <w:trPr>
          <w:trHeight w:val="23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20178" TargetMode="External"/><Relationship Id="rId14" Type="http://schemas.openxmlformats.org/officeDocument/2006/relationships/hyperlink" Target="http://www.sec.gov/cgi-bin/browse-edgar?action=getcompany&amp;CIK=0001697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2026-06-24T05:26:08Z</dcterms:created>
  <dcterms:modified xsi:type="dcterms:W3CDTF">2026-06-24T05:26:08Z</dcterms:modified>
</cp:coreProperties>
</file>